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2FF2" w:rsidRDefault="00992FF2" w:rsidP="006D3216">
      <w:pPr>
        <w:rPr>
          <w:rFonts w:ascii="Arial" w:hAnsi="Arial" w:cs="Arial"/>
          <w:b/>
        </w:rPr>
      </w:pPr>
      <w:r>
        <w:rPr>
          <w:rFonts w:ascii="Arial" w:hAnsi="Arial" w:cs="Arial"/>
          <w:b/>
          <w:noProof/>
          <w:u w:val="single"/>
          <w:lang w:eastAsia="en-GB"/>
        </w:rPr>
        <mc:AlternateContent>
          <mc:Choice Requires="wps">
            <w:drawing>
              <wp:anchor distT="0" distB="0" distL="114300" distR="114300" simplePos="0" relativeHeight="251659264" behindDoc="0" locked="0" layoutInCell="1" allowOverlap="1" wp14:anchorId="3E40B50E" wp14:editId="536EAF47">
                <wp:simplePos x="0" y="0"/>
                <wp:positionH relativeFrom="column">
                  <wp:posOffset>28575</wp:posOffset>
                </wp:positionH>
                <wp:positionV relativeFrom="paragraph">
                  <wp:posOffset>153035</wp:posOffset>
                </wp:positionV>
                <wp:extent cx="5591175" cy="6838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591175" cy="683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2FF2" w:rsidRPr="00216F45" w:rsidRDefault="00992FF2" w:rsidP="0067605C">
                            <w:pPr>
                              <w:jc w:val="center"/>
                              <w:rPr>
                                <w:rFonts w:ascii="Arial" w:hAnsi="Arial" w:cs="Arial"/>
                                <w:sz w:val="32"/>
                              </w:rPr>
                            </w:pPr>
                            <w:r w:rsidRPr="00216F45">
                              <w:rPr>
                                <w:rFonts w:ascii="Arial" w:hAnsi="Arial" w:cs="Arial"/>
                                <w:b/>
                                <w:sz w:val="32"/>
                                <w:u w:val="single"/>
                              </w:rPr>
                              <w:t>Nort</w:t>
                            </w:r>
                            <w:r w:rsidR="0067605C">
                              <w:rPr>
                                <w:rFonts w:ascii="Arial" w:hAnsi="Arial" w:cs="Arial"/>
                                <w:b/>
                                <w:sz w:val="32"/>
                                <w:u w:val="single"/>
                              </w:rPr>
                              <w:t>h of Tyne, Gateshead and North Cumbria APC</w:t>
                            </w:r>
                            <w:r w:rsidRPr="00216F45">
                              <w:rPr>
                                <w:rFonts w:ascii="Arial" w:hAnsi="Arial" w:cs="Arial"/>
                                <w:b/>
                                <w:sz w:val="32"/>
                                <w:u w:val="single"/>
                              </w:rPr>
                              <w:t xml:space="preserve"> </w:t>
                            </w:r>
                            <w:r w:rsidR="0067605C">
                              <w:rPr>
                                <w:rFonts w:ascii="Arial" w:hAnsi="Arial" w:cs="Arial"/>
                                <w:b/>
                                <w:sz w:val="32"/>
                                <w:u w:val="single"/>
                              </w:rPr>
                              <w:t>p</w:t>
                            </w:r>
                            <w:r w:rsidRPr="00216F45">
                              <w:rPr>
                                <w:rFonts w:ascii="Arial" w:hAnsi="Arial" w:cs="Arial"/>
                                <w:b/>
                                <w:sz w:val="32"/>
                                <w:u w:val="single"/>
                              </w:rPr>
                              <w:t>osition</w:t>
                            </w:r>
                            <w:r w:rsidR="00957136" w:rsidRPr="00216F45">
                              <w:rPr>
                                <w:rFonts w:ascii="Arial" w:hAnsi="Arial" w:cs="Arial"/>
                                <w:b/>
                                <w:sz w:val="32"/>
                                <w:u w:val="single"/>
                              </w:rPr>
                              <w:t xml:space="preserve"> </w:t>
                            </w:r>
                            <w:r w:rsidR="0067605C">
                              <w:rPr>
                                <w:rFonts w:ascii="Arial" w:hAnsi="Arial" w:cs="Arial"/>
                                <w:b/>
                                <w:sz w:val="32"/>
                                <w:u w:val="single"/>
                              </w:rPr>
                              <w:t>s</w:t>
                            </w:r>
                            <w:r w:rsidR="00957136" w:rsidRPr="00216F45">
                              <w:rPr>
                                <w:rFonts w:ascii="Arial" w:hAnsi="Arial" w:cs="Arial"/>
                                <w:b/>
                                <w:sz w:val="32"/>
                                <w:u w:val="single"/>
                              </w:rPr>
                              <w:t>tatement</w:t>
                            </w:r>
                            <w:r w:rsidR="0067605C">
                              <w:rPr>
                                <w:rFonts w:ascii="Arial" w:hAnsi="Arial" w:cs="Arial"/>
                                <w:b/>
                                <w:sz w:val="32"/>
                                <w:u w:val="single"/>
                              </w:rPr>
                              <w:t xml:space="preserve"> on the use of opioid medicines in non-malignant pain.</w:t>
                            </w:r>
                          </w:p>
                          <w:p w:rsidR="0067605C" w:rsidRPr="0067605C" w:rsidRDefault="0067605C" w:rsidP="0067605C">
                            <w:pPr>
                              <w:spacing w:before="120" w:after="120"/>
                              <w:rPr>
                                <w:rFonts w:ascii="Arial" w:hAnsi="Arial" w:cs="Arial"/>
                                <w:sz w:val="24"/>
                              </w:rPr>
                            </w:pPr>
                            <w:r w:rsidRPr="0067605C">
                              <w:rPr>
                                <w:rFonts w:ascii="Arial" w:hAnsi="Arial" w:cs="Arial"/>
                                <w:sz w:val="24"/>
                              </w:rPr>
                              <w:t>Although morphine</w:t>
                            </w:r>
                            <w:r>
                              <w:rPr>
                                <w:rFonts w:ascii="Arial" w:hAnsi="Arial" w:cs="Arial"/>
                                <w:sz w:val="24"/>
                              </w:rPr>
                              <w:t>,</w:t>
                            </w:r>
                            <w:r w:rsidRPr="0067605C">
                              <w:rPr>
                                <w:rFonts w:ascii="Arial" w:hAnsi="Arial" w:cs="Arial"/>
                                <w:sz w:val="24"/>
                              </w:rPr>
                              <w:t xml:space="preserve"> and morphine like, painkillers can be very useful for acute pain, and in palliative care, there is little evidence of benefit for long-term use in people with persistent non-cancer pain.</w:t>
                            </w:r>
                          </w:p>
                          <w:p w:rsidR="0067605C" w:rsidRPr="0067605C" w:rsidRDefault="0067605C" w:rsidP="0067605C">
                            <w:pPr>
                              <w:spacing w:before="120" w:after="120"/>
                              <w:rPr>
                                <w:rFonts w:ascii="Arial" w:hAnsi="Arial" w:cs="Arial"/>
                                <w:sz w:val="24"/>
                              </w:rPr>
                            </w:pPr>
                            <w:r w:rsidRPr="0067605C">
                              <w:rPr>
                                <w:rFonts w:ascii="Arial" w:hAnsi="Arial" w:cs="Arial"/>
                                <w:sz w:val="24"/>
                              </w:rPr>
                              <w:t>Evidence is now becoming clear that long term use of these painkillers (especially in doses higher than the equivalent of 120mg  of morphine in any 24 hour period) is associated with significant health risk for the individual  such as drug dependence, breathing difficulties and even death in some circumstances.</w:t>
                            </w:r>
                          </w:p>
                          <w:p w:rsidR="0067605C" w:rsidRPr="0067605C" w:rsidRDefault="0067605C" w:rsidP="0067605C">
                            <w:pPr>
                              <w:spacing w:before="120" w:after="120"/>
                              <w:rPr>
                                <w:rFonts w:ascii="Arial" w:hAnsi="Arial" w:cs="Arial"/>
                                <w:sz w:val="24"/>
                              </w:rPr>
                            </w:pPr>
                          </w:p>
                          <w:p w:rsidR="0067605C" w:rsidRDefault="0067605C" w:rsidP="0067605C">
                            <w:pPr>
                              <w:spacing w:before="120" w:after="120"/>
                              <w:rPr>
                                <w:rFonts w:ascii="Arial" w:hAnsi="Arial" w:cs="Arial"/>
                                <w:sz w:val="24"/>
                              </w:rPr>
                            </w:pPr>
                            <w:r w:rsidRPr="0067605C">
                              <w:rPr>
                                <w:rFonts w:ascii="Arial" w:hAnsi="Arial" w:cs="Arial"/>
                                <w:sz w:val="24"/>
                              </w:rPr>
                              <w:t>Th</w:t>
                            </w:r>
                            <w:r>
                              <w:rPr>
                                <w:rFonts w:ascii="Arial" w:hAnsi="Arial" w:cs="Arial"/>
                                <w:sz w:val="24"/>
                              </w:rPr>
                              <w:t xml:space="preserve">e APC </w:t>
                            </w:r>
                            <w:r w:rsidRPr="0067605C">
                              <w:rPr>
                                <w:rFonts w:ascii="Arial" w:hAnsi="Arial" w:cs="Arial"/>
                                <w:sz w:val="24"/>
                              </w:rPr>
                              <w:t>is working with all organisations to reduce the inappropriate use of morphine like painkillers in managing long term pain.</w:t>
                            </w:r>
                          </w:p>
                          <w:p w:rsidR="00992FF2" w:rsidRPr="00216F45" w:rsidRDefault="00992FF2" w:rsidP="00BE64E9">
                            <w:pPr>
                              <w:spacing w:before="120" w:after="120"/>
                              <w:rPr>
                                <w:rFonts w:ascii="Arial" w:hAnsi="Arial" w:cs="Arial"/>
                                <w:sz w:val="24"/>
                              </w:rPr>
                            </w:pPr>
                            <w:r w:rsidRPr="00216F45">
                              <w:rPr>
                                <w:rFonts w:ascii="Arial" w:hAnsi="Arial" w:cs="Arial"/>
                                <w:sz w:val="24"/>
                              </w:rPr>
                              <w:t xml:space="preserve">Patients with non-malignant persistent pain should not </w:t>
                            </w:r>
                            <w:r w:rsidR="0067605C">
                              <w:rPr>
                                <w:rFonts w:ascii="Arial" w:hAnsi="Arial" w:cs="Arial"/>
                                <w:sz w:val="24"/>
                              </w:rPr>
                              <w:t xml:space="preserve">routinely </w:t>
                            </w:r>
                            <w:r w:rsidRPr="00216F45">
                              <w:rPr>
                                <w:rFonts w:ascii="Arial" w:hAnsi="Arial" w:cs="Arial"/>
                                <w:sz w:val="24"/>
                              </w:rPr>
                              <w:t xml:space="preserve">be prescribed </w:t>
                            </w:r>
                            <w:r w:rsidR="0067605C">
                              <w:rPr>
                                <w:rFonts w:ascii="Arial" w:hAnsi="Arial" w:cs="Arial"/>
                                <w:sz w:val="24"/>
                              </w:rPr>
                              <w:t xml:space="preserve">these medicines long term. They should also not be prescribed </w:t>
                            </w:r>
                            <w:r w:rsidRPr="00216F45">
                              <w:rPr>
                                <w:rFonts w:ascii="Arial" w:hAnsi="Arial" w:cs="Arial"/>
                                <w:sz w:val="24"/>
                              </w:rPr>
                              <w:t xml:space="preserve">more than: </w:t>
                            </w:r>
                          </w:p>
                          <w:p w:rsidR="00992FF2" w:rsidRPr="00216F45" w:rsidRDefault="00992FF2" w:rsidP="00BE64E9">
                            <w:pPr>
                              <w:pStyle w:val="ListParagraph"/>
                              <w:numPr>
                                <w:ilvl w:val="0"/>
                                <w:numId w:val="3"/>
                              </w:numPr>
                              <w:spacing w:before="120" w:after="120"/>
                              <w:rPr>
                                <w:rFonts w:ascii="Arial" w:hAnsi="Arial" w:cs="Arial"/>
                                <w:b/>
                                <w:sz w:val="24"/>
                              </w:rPr>
                            </w:pPr>
                            <w:r w:rsidRPr="00216F45">
                              <w:rPr>
                                <w:rFonts w:ascii="Arial" w:hAnsi="Arial" w:cs="Arial"/>
                                <w:b/>
                                <w:sz w:val="24"/>
                              </w:rPr>
                              <w:t>120mg oral morphine (or equivalent) per day.</w:t>
                            </w:r>
                          </w:p>
                          <w:p w:rsidR="00992FF2" w:rsidRPr="00216F45" w:rsidRDefault="00992FF2" w:rsidP="00BE64E9">
                            <w:pPr>
                              <w:spacing w:before="120" w:after="120"/>
                              <w:rPr>
                                <w:rFonts w:ascii="Arial" w:hAnsi="Arial" w:cs="Arial"/>
                                <w:sz w:val="24"/>
                              </w:rPr>
                            </w:pPr>
                            <w:r w:rsidRPr="00216F45">
                              <w:rPr>
                                <w:rFonts w:ascii="Arial" w:hAnsi="Arial" w:cs="Arial"/>
                                <w:sz w:val="24"/>
                              </w:rPr>
                              <w:t xml:space="preserve">Ideally doses should not exceed: </w:t>
                            </w:r>
                          </w:p>
                          <w:p w:rsidR="00992FF2" w:rsidRPr="00216F45" w:rsidRDefault="00992FF2" w:rsidP="00BE64E9">
                            <w:pPr>
                              <w:pStyle w:val="ListParagraph"/>
                              <w:numPr>
                                <w:ilvl w:val="0"/>
                                <w:numId w:val="3"/>
                              </w:numPr>
                              <w:spacing w:before="120" w:after="120"/>
                              <w:rPr>
                                <w:rFonts w:ascii="Arial" w:hAnsi="Arial" w:cs="Arial"/>
                                <w:b/>
                                <w:sz w:val="24"/>
                              </w:rPr>
                            </w:pPr>
                            <w:r w:rsidRPr="00216F45">
                              <w:rPr>
                                <w:rFonts w:ascii="Arial" w:hAnsi="Arial" w:cs="Arial"/>
                                <w:b/>
                                <w:sz w:val="24"/>
                              </w:rPr>
                              <w:t>50 mg oral morphine (or equivalent) per day</w:t>
                            </w:r>
                          </w:p>
                          <w:p w:rsidR="00992FF2" w:rsidRPr="00216F45" w:rsidRDefault="00992FF2" w:rsidP="00BE64E9">
                            <w:pPr>
                              <w:spacing w:before="120" w:after="120"/>
                              <w:rPr>
                                <w:rFonts w:ascii="Arial" w:hAnsi="Arial" w:cs="Arial"/>
                                <w:b/>
                                <w:sz w:val="24"/>
                              </w:rPr>
                            </w:pPr>
                            <w:r w:rsidRPr="00216F45">
                              <w:rPr>
                                <w:rFonts w:ascii="Arial" w:hAnsi="Arial" w:cs="Arial"/>
                                <w:sz w:val="24"/>
                              </w:rPr>
                              <w:t xml:space="preserve">The risk of harm increases substantially above 120mgs oral morphine per day (or equivalent) </w:t>
                            </w:r>
                            <w:r w:rsidRPr="00216F45">
                              <w:rPr>
                                <w:rFonts w:ascii="Arial" w:hAnsi="Arial" w:cs="Arial"/>
                                <w:b/>
                                <w:sz w:val="24"/>
                              </w:rPr>
                              <w:t>WITH NO INCREASED BENEFIT</w:t>
                            </w:r>
                          </w:p>
                          <w:p w:rsidR="00A51B4E" w:rsidRPr="00A51B4E" w:rsidRDefault="00A51B4E" w:rsidP="002D5B9C">
                            <w:pPr>
                              <w:pStyle w:val="ListParagraph"/>
                              <w:numPr>
                                <w:ilvl w:val="0"/>
                                <w:numId w:val="3"/>
                              </w:numPr>
                              <w:spacing w:before="120" w:after="120"/>
                              <w:rPr>
                                <w:rFonts w:ascii="Arial" w:hAnsi="Arial" w:cs="Arial"/>
                              </w:rPr>
                            </w:pPr>
                            <w:r w:rsidRPr="00216F45">
                              <w:rPr>
                                <w:rFonts w:ascii="Arial" w:hAnsi="Arial" w:cs="Arial"/>
                                <w:sz w:val="24"/>
                              </w:rPr>
                              <w:t xml:space="preserve">If a patient is using opioids but is still in pain, the opioids are ineffective and </w:t>
                            </w:r>
                            <w:r w:rsidRPr="00A51B4E">
                              <w:rPr>
                                <w:rFonts w:ascii="Arial" w:hAnsi="Arial" w:cs="Arial"/>
                              </w:rPr>
                              <w:t xml:space="preserve">should be </w:t>
                            </w:r>
                            <w:r w:rsidR="002D5B9C" w:rsidRPr="002D5B9C">
                              <w:rPr>
                                <w:rFonts w:ascii="Arial" w:hAnsi="Arial" w:cs="Arial"/>
                              </w:rPr>
                              <w:t>reduced with a view to discontinuing</w:t>
                            </w:r>
                            <w:r w:rsidRPr="00A51B4E">
                              <w:rPr>
                                <w:rFonts w:ascii="Arial" w:hAnsi="Arial" w:cs="Arial"/>
                              </w:rPr>
                              <w:t xml:space="preserve">, </w:t>
                            </w:r>
                            <w:r w:rsidRPr="00A51B4E">
                              <w:rPr>
                                <w:rFonts w:ascii="Arial" w:hAnsi="Arial" w:cs="Arial"/>
                                <w:b/>
                              </w:rPr>
                              <w:t>even if no other treatment is available</w:t>
                            </w:r>
                          </w:p>
                          <w:p w:rsidR="00992FF2" w:rsidRDefault="00992FF2" w:rsidP="00992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5pt;margin-top:12.05pt;width:440.2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" fillcolor="#4f81bd [3204]" strokecolor="#243f60 [1604]" strokeweight="2pt">
                <v:textbox>
                  <w:txbxContent>
                    <w:p w:rsidR="00992FF2" w:rsidRPr="00216F45" w:rsidRDefault="00992FF2" w:rsidP="0067605C">
                      <w:pPr>
                        <w:jc w:val="center"/>
                        <w:rPr>
                          <w:rFonts w:ascii="Arial" w:hAnsi="Arial" w:cs="Arial"/>
                          <w:sz w:val="32"/>
                        </w:rPr>
                      </w:pPr>
                      <w:r w:rsidRPr="00216F45">
                        <w:rPr>
                          <w:rFonts w:ascii="Arial" w:hAnsi="Arial" w:cs="Arial"/>
                          <w:b/>
                          <w:sz w:val="32"/>
                          <w:u w:val="single"/>
                        </w:rPr>
                        <w:t>Nort</w:t>
                      </w:r>
                      <w:r w:rsidR="0067605C">
                        <w:rPr>
                          <w:rFonts w:ascii="Arial" w:hAnsi="Arial" w:cs="Arial"/>
                          <w:b/>
                          <w:sz w:val="32"/>
                          <w:u w:val="single"/>
                        </w:rPr>
                        <w:t>h of Tyne, Gateshead and North Cumbria APC</w:t>
                      </w:r>
                      <w:r w:rsidRPr="00216F45">
                        <w:rPr>
                          <w:rFonts w:ascii="Arial" w:hAnsi="Arial" w:cs="Arial"/>
                          <w:b/>
                          <w:sz w:val="32"/>
                          <w:u w:val="single"/>
                        </w:rPr>
                        <w:t xml:space="preserve"> </w:t>
                      </w:r>
                      <w:r w:rsidR="0067605C">
                        <w:rPr>
                          <w:rFonts w:ascii="Arial" w:hAnsi="Arial" w:cs="Arial"/>
                          <w:b/>
                          <w:sz w:val="32"/>
                          <w:u w:val="single"/>
                        </w:rPr>
                        <w:t>p</w:t>
                      </w:r>
                      <w:r w:rsidRPr="00216F45">
                        <w:rPr>
                          <w:rFonts w:ascii="Arial" w:hAnsi="Arial" w:cs="Arial"/>
                          <w:b/>
                          <w:sz w:val="32"/>
                          <w:u w:val="single"/>
                        </w:rPr>
                        <w:t>osition</w:t>
                      </w:r>
                      <w:r w:rsidR="00957136" w:rsidRPr="00216F45">
                        <w:rPr>
                          <w:rFonts w:ascii="Arial" w:hAnsi="Arial" w:cs="Arial"/>
                          <w:b/>
                          <w:sz w:val="32"/>
                          <w:u w:val="single"/>
                        </w:rPr>
                        <w:t xml:space="preserve"> </w:t>
                      </w:r>
                      <w:r w:rsidR="0067605C">
                        <w:rPr>
                          <w:rFonts w:ascii="Arial" w:hAnsi="Arial" w:cs="Arial"/>
                          <w:b/>
                          <w:sz w:val="32"/>
                          <w:u w:val="single"/>
                        </w:rPr>
                        <w:t>s</w:t>
                      </w:r>
                      <w:r w:rsidR="00957136" w:rsidRPr="00216F45">
                        <w:rPr>
                          <w:rFonts w:ascii="Arial" w:hAnsi="Arial" w:cs="Arial"/>
                          <w:b/>
                          <w:sz w:val="32"/>
                          <w:u w:val="single"/>
                        </w:rPr>
                        <w:t>tatement</w:t>
                      </w:r>
                      <w:r w:rsidR="0067605C">
                        <w:rPr>
                          <w:rFonts w:ascii="Arial" w:hAnsi="Arial" w:cs="Arial"/>
                          <w:b/>
                          <w:sz w:val="32"/>
                          <w:u w:val="single"/>
                        </w:rPr>
                        <w:t xml:space="preserve"> on the use of opioid medicines in non-malignant pain.</w:t>
                      </w:r>
                    </w:p>
                    <w:p w:rsidR="0067605C" w:rsidRPr="0067605C" w:rsidRDefault="0067605C" w:rsidP="0067605C">
                      <w:pPr>
                        <w:spacing w:before="120" w:after="120"/>
                        <w:rPr>
                          <w:rFonts w:ascii="Arial" w:hAnsi="Arial" w:cs="Arial"/>
                          <w:sz w:val="24"/>
                        </w:rPr>
                      </w:pPr>
                      <w:r w:rsidRPr="0067605C">
                        <w:rPr>
                          <w:rFonts w:ascii="Arial" w:hAnsi="Arial" w:cs="Arial"/>
                          <w:sz w:val="24"/>
                        </w:rPr>
                        <w:t xml:space="preserve">Although </w:t>
                      </w:r>
                      <w:proofErr w:type="gramStart"/>
                      <w:r w:rsidRPr="0067605C">
                        <w:rPr>
                          <w:rFonts w:ascii="Arial" w:hAnsi="Arial" w:cs="Arial"/>
                          <w:sz w:val="24"/>
                        </w:rPr>
                        <w:t>morphine</w:t>
                      </w:r>
                      <w:r>
                        <w:rPr>
                          <w:rFonts w:ascii="Arial" w:hAnsi="Arial" w:cs="Arial"/>
                          <w:sz w:val="24"/>
                        </w:rPr>
                        <w:t>,</w:t>
                      </w:r>
                      <w:proofErr w:type="gramEnd"/>
                      <w:r w:rsidRPr="0067605C">
                        <w:rPr>
                          <w:rFonts w:ascii="Arial" w:hAnsi="Arial" w:cs="Arial"/>
                          <w:sz w:val="24"/>
                        </w:rPr>
                        <w:t xml:space="preserve"> and morphine like, painkillers can be very useful for acute pain, and in palliative care, there is little evidence of benefit for long-term use in people with persistent non-cancer pain.</w:t>
                      </w:r>
                    </w:p>
                    <w:p w:rsidR="0067605C" w:rsidRPr="0067605C" w:rsidRDefault="0067605C" w:rsidP="0067605C">
                      <w:pPr>
                        <w:spacing w:before="120" w:after="120"/>
                        <w:rPr>
                          <w:rFonts w:ascii="Arial" w:hAnsi="Arial" w:cs="Arial"/>
                          <w:sz w:val="24"/>
                        </w:rPr>
                      </w:pPr>
                      <w:r w:rsidRPr="0067605C">
                        <w:rPr>
                          <w:rFonts w:ascii="Arial" w:hAnsi="Arial" w:cs="Arial"/>
                          <w:sz w:val="24"/>
                        </w:rPr>
                        <w:t>Evidence is now becoming clear that long term use of these painkillers (especially in doses higher than the equivalent of 120mg  of morphine in any 24 hour period) is associated with significant health risk for the individual  such as drug dependence, breathing difficulties and even death in some circumstances.</w:t>
                      </w:r>
                    </w:p>
                    <w:p w:rsidR="0067605C" w:rsidRPr="0067605C" w:rsidRDefault="0067605C" w:rsidP="0067605C">
                      <w:pPr>
                        <w:spacing w:before="120" w:after="120"/>
                        <w:rPr>
                          <w:rFonts w:ascii="Arial" w:hAnsi="Arial" w:cs="Arial"/>
                          <w:sz w:val="24"/>
                        </w:rPr>
                      </w:pPr>
                    </w:p>
                    <w:p w:rsidR="0067605C" w:rsidRDefault="0067605C" w:rsidP="0067605C">
                      <w:pPr>
                        <w:spacing w:before="120" w:after="120"/>
                        <w:rPr>
                          <w:rFonts w:ascii="Arial" w:hAnsi="Arial" w:cs="Arial"/>
                          <w:sz w:val="24"/>
                        </w:rPr>
                      </w:pPr>
                      <w:r w:rsidRPr="0067605C">
                        <w:rPr>
                          <w:rFonts w:ascii="Arial" w:hAnsi="Arial" w:cs="Arial"/>
                          <w:sz w:val="24"/>
                        </w:rPr>
                        <w:t>Th</w:t>
                      </w:r>
                      <w:r>
                        <w:rPr>
                          <w:rFonts w:ascii="Arial" w:hAnsi="Arial" w:cs="Arial"/>
                          <w:sz w:val="24"/>
                        </w:rPr>
                        <w:t xml:space="preserve">e APC </w:t>
                      </w:r>
                      <w:r w:rsidRPr="0067605C">
                        <w:rPr>
                          <w:rFonts w:ascii="Arial" w:hAnsi="Arial" w:cs="Arial"/>
                          <w:sz w:val="24"/>
                        </w:rPr>
                        <w:t>is working with all organisations to reduce the inappropriate use of morphine like painkillers in managing long term pain.</w:t>
                      </w:r>
                    </w:p>
                    <w:p w:rsidR="00992FF2" w:rsidRPr="00216F45" w:rsidRDefault="00992FF2" w:rsidP="00BE64E9">
                      <w:pPr>
                        <w:spacing w:before="120" w:after="120"/>
                        <w:rPr>
                          <w:rFonts w:ascii="Arial" w:hAnsi="Arial" w:cs="Arial"/>
                          <w:sz w:val="24"/>
                        </w:rPr>
                      </w:pPr>
                      <w:r w:rsidRPr="00216F45">
                        <w:rPr>
                          <w:rFonts w:ascii="Arial" w:hAnsi="Arial" w:cs="Arial"/>
                          <w:sz w:val="24"/>
                        </w:rPr>
                        <w:t xml:space="preserve">Patients with non-malignant persistent pain should not </w:t>
                      </w:r>
                      <w:r w:rsidR="0067605C">
                        <w:rPr>
                          <w:rFonts w:ascii="Arial" w:hAnsi="Arial" w:cs="Arial"/>
                          <w:sz w:val="24"/>
                        </w:rPr>
                        <w:t xml:space="preserve">routinely </w:t>
                      </w:r>
                      <w:r w:rsidRPr="00216F45">
                        <w:rPr>
                          <w:rFonts w:ascii="Arial" w:hAnsi="Arial" w:cs="Arial"/>
                          <w:sz w:val="24"/>
                        </w:rPr>
                        <w:t xml:space="preserve">be prescribed </w:t>
                      </w:r>
                      <w:r w:rsidR="0067605C">
                        <w:rPr>
                          <w:rFonts w:ascii="Arial" w:hAnsi="Arial" w:cs="Arial"/>
                          <w:sz w:val="24"/>
                        </w:rPr>
                        <w:t xml:space="preserve">these medicines long term. They should also not be prescribed </w:t>
                      </w:r>
                      <w:r w:rsidRPr="00216F45">
                        <w:rPr>
                          <w:rFonts w:ascii="Arial" w:hAnsi="Arial" w:cs="Arial"/>
                          <w:sz w:val="24"/>
                        </w:rPr>
                        <w:t xml:space="preserve">more than: </w:t>
                      </w:r>
                    </w:p>
                    <w:p w:rsidR="00992FF2" w:rsidRPr="00216F45" w:rsidRDefault="00992FF2" w:rsidP="00BE64E9">
                      <w:pPr>
                        <w:pStyle w:val="ListParagraph"/>
                        <w:numPr>
                          <w:ilvl w:val="0"/>
                          <w:numId w:val="3"/>
                        </w:numPr>
                        <w:spacing w:before="120" w:after="120"/>
                        <w:rPr>
                          <w:rFonts w:ascii="Arial" w:hAnsi="Arial" w:cs="Arial"/>
                          <w:b/>
                          <w:sz w:val="24"/>
                        </w:rPr>
                      </w:pPr>
                      <w:r w:rsidRPr="00216F45">
                        <w:rPr>
                          <w:rFonts w:ascii="Arial" w:hAnsi="Arial" w:cs="Arial"/>
                          <w:b/>
                          <w:sz w:val="24"/>
                        </w:rPr>
                        <w:t>120mg oral morphine (or equivalent) per day.</w:t>
                      </w:r>
                    </w:p>
                    <w:p w:rsidR="00992FF2" w:rsidRPr="00216F45" w:rsidRDefault="00992FF2" w:rsidP="00BE64E9">
                      <w:pPr>
                        <w:spacing w:before="120" w:after="120"/>
                        <w:rPr>
                          <w:rFonts w:ascii="Arial" w:hAnsi="Arial" w:cs="Arial"/>
                          <w:sz w:val="24"/>
                        </w:rPr>
                      </w:pPr>
                      <w:r w:rsidRPr="00216F45">
                        <w:rPr>
                          <w:rFonts w:ascii="Arial" w:hAnsi="Arial" w:cs="Arial"/>
                          <w:sz w:val="24"/>
                        </w:rPr>
                        <w:t xml:space="preserve">Ideally doses should not exceed: </w:t>
                      </w:r>
                    </w:p>
                    <w:p w:rsidR="00992FF2" w:rsidRPr="00216F45" w:rsidRDefault="00992FF2" w:rsidP="00BE64E9">
                      <w:pPr>
                        <w:pStyle w:val="ListParagraph"/>
                        <w:numPr>
                          <w:ilvl w:val="0"/>
                          <w:numId w:val="3"/>
                        </w:numPr>
                        <w:spacing w:before="120" w:after="120"/>
                        <w:rPr>
                          <w:rFonts w:ascii="Arial" w:hAnsi="Arial" w:cs="Arial"/>
                          <w:b/>
                          <w:sz w:val="24"/>
                        </w:rPr>
                      </w:pPr>
                      <w:r w:rsidRPr="00216F45">
                        <w:rPr>
                          <w:rFonts w:ascii="Arial" w:hAnsi="Arial" w:cs="Arial"/>
                          <w:b/>
                          <w:sz w:val="24"/>
                        </w:rPr>
                        <w:t>50 mg oral morphine (or equivalent) per day</w:t>
                      </w:r>
                    </w:p>
                    <w:p w:rsidR="00992FF2" w:rsidRPr="00216F45" w:rsidRDefault="00992FF2" w:rsidP="00BE64E9">
                      <w:pPr>
                        <w:spacing w:before="120" w:after="120"/>
                        <w:rPr>
                          <w:rFonts w:ascii="Arial" w:hAnsi="Arial" w:cs="Arial"/>
                          <w:b/>
                          <w:sz w:val="24"/>
                        </w:rPr>
                      </w:pPr>
                      <w:r w:rsidRPr="00216F45">
                        <w:rPr>
                          <w:rFonts w:ascii="Arial" w:hAnsi="Arial" w:cs="Arial"/>
                          <w:sz w:val="24"/>
                        </w:rPr>
                        <w:t xml:space="preserve">The risk of harm increases substantially above 120mgs oral morphine per day (or equivalent) </w:t>
                      </w:r>
                      <w:r w:rsidRPr="00216F45">
                        <w:rPr>
                          <w:rFonts w:ascii="Arial" w:hAnsi="Arial" w:cs="Arial"/>
                          <w:b/>
                          <w:sz w:val="24"/>
                        </w:rPr>
                        <w:t>WITH NO INCREASED BENEFIT</w:t>
                      </w:r>
                    </w:p>
                    <w:p w:rsidR="00A51B4E" w:rsidRPr="00A51B4E" w:rsidRDefault="00A51B4E" w:rsidP="002D5B9C">
                      <w:pPr>
                        <w:pStyle w:val="ListParagraph"/>
                        <w:numPr>
                          <w:ilvl w:val="0"/>
                          <w:numId w:val="3"/>
                        </w:numPr>
                        <w:spacing w:before="120" w:after="120"/>
                        <w:rPr>
                          <w:rFonts w:ascii="Arial" w:hAnsi="Arial" w:cs="Arial"/>
                        </w:rPr>
                      </w:pPr>
                      <w:r w:rsidRPr="00216F45">
                        <w:rPr>
                          <w:rFonts w:ascii="Arial" w:hAnsi="Arial" w:cs="Arial"/>
                          <w:sz w:val="24"/>
                        </w:rPr>
                        <w:t xml:space="preserve">If a patient is using opioids but is still in pain, the opioids are ineffective and </w:t>
                      </w:r>
                      <w:r w:rsidRPr="00A51B4E">
                        <w:rPr>
                          <w:rFonts w:ascii="Arial" w:hAnsi="Arial" w:cs="Arial"/>
                        </w:rPr>
                        <w:t xml:space="preserve">should be </w:t>
                      </w:r>
                      <w:r w:rsidR="002D5B9C" w:rsidRPr="002D5B9C">
                        <w:rPr>
                          <w:rFonts w:ascii="Arial" w:hAnsi="Arial" w:cs="Arial"/>
                        </w:rPr>
                        <w:t>reduced with a view to discontinuing</w:t>
                      </w:r>
                      <w:r w:rsidRPr="00A51B4E">
                        <w:rPr>
                          <w:rFonts w:ascii="Arial" w:hAnsi="Arial" w:cs="Arial"/>
                        </w:rPr>
                        <w:t xml:space="preserve">, </w:t>
                      </w:r>
                      <w:r w:rsidRPr="00A51B4E">
                        <w:rPr>
                          <w:rFonts w:ascii="Arial" w:hAnsi="Arial" w:cs="Arial"/>
                          <w:b/>
                        </w:rPr>
                        <w:t>even if no other treatment is available</w:t>
                      </w:r>
                    </w:p>
                    <w:p w:rsidR="00992FF2" w:rsidRDefault="00992FF2" w:rsidP="00992FF2">
                      <w:pPr>
                        <w:jc w:val="center"/>
                      </w:pPr>
                    </w:p>
                  </w:txbxContent>
                </v:textbox>
              </v:rect>
            </w:pict>
          </mc:Fallback>
        </mc:AlternateContent>
      </w:r>
    </w:p>
    <w:p w:rsidR="00992FF2" w:rsidRDefault="00992FF2" w:rsidP="006D3216">
      <w:pPr>
        <w:rPr>
          <w:rFonts w:ascii="Arial" w:hAnsi="Arial" w:cs="Arial"/>
          <w:b/>
        </w:rPr>
      </w:pPr>
    </w:p>
    <w:p w:rsidR="00992FF2" w:rsidRDefault="00992FF2" w:rsidP="006D3216">
      <w:pPr>
        <w:rPr>
          <w:rFonts w:ascii="Arial" w:hAnsi="Arial" w:cs="Arial"/>
          <w:b/>
        </w:rPr>
      </w:pPr>
    </w:p>
    <w:p w:rsidR="00992FF2" w:rsidRDefault="00992FF2" w:rsidP="006D3216">
      <w:pPr>
        <w:rPr>
          <w:rFonts w:ascii="Arial" w:hAnsi="Arial" w:cs="Arial"/>
          <w:b/>
        </w:rPr>
      </w:pPr>
    </w:p>
    <w:p w:rsidR="00992FF2" w:rsidRDefault="00992FF2" w:rsidP="006D3216">
      <w:pPr>
        <w:rPr>
          <w:rFonts w:ascii="Arial" w:hAnsi="Arial" w:cs="Arial"/>
          <w:b/>
        </w:rPr>
      </w:pPr>
    </w:p>
    <w:p w:rsidR="00992FF2" w:rsidRDefault="00992FF2" w:rsidP="006D3216">
      <w:pPr>
        <w:rPr>
          <w:rFonts w:ascii="Arial" w:hAnsi="Arial" w:cs="Arial"/>
          <w:b/>
        </w:rPr>
      </w:pPr>
    </w:p>
    <w:p w:rsidR="00992FF2" w:rsidRDefault="00992FF2" w:rsidP="006D3216">
      <w:pPr>
        <w:rPr>
          <w:rFonts w:ascii="Arial" w:hAnsi="Arial" w:cs="Arial"/>
          <w:b/>
        </w:rPr>
      </w:pPr>
    </w:p>
    <w:p w:rsidR="00992FF2" w:rsidRDefault="00992FF2" w:rsidP="006D3216">
      <w:pPr>
        <w:rPr>
          <w:rFonts w:ascii="Arial" w:hAnsi="Arial" w:cs="Arial"/>
          <w:b/>
        </w:rPr>
      </w:pPr>
    </w:p>
    <w:p w:rsidR="00A51B4E" w:rsidRDefault="00A51B4E" w:rsidP="00992FF2">
      <w:pPr>
        <w:spacing w:before="120" w:after="120"/>
        <w:rPr>
          <w:rFonts w:ascii="Arial" w:hAnsi="Arial" w:cs="Arial"/>
        </w:rPr>
      </w:pPr>
    </w:p>
    <w:p w:rsidR="00216F45" w:rsidRDefault="00216F45" w:rsidP="00957136">
      <w:pPr>
        <w:spacing w:before="240" w:after="120"/>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67605C" w:rsidRDefault="0067605C" w:rsidP="00BE64E9">
      <w:pPr>
        <w:spacing w:before="240" w:afterLines="60" w:after="144"/>
        <w:rPr>
          <w:rFonts w:ascii="Arial" w:hAnsi="Arial" w:cs="Arial"/>
        </w:rPr>
      </w:pPr>
    </w:p>
    <w:p w:rsidR="00992FF2" w:rsidRPr="00957136" w:rsidRDefault="0067605C" w:rsidP="00BE64E9">
      <w:pPr>
        <w:spacing w:before="240" w:afterLines="60" w:after="144"/>
        <w:rPr>
          <w:rFonts w:ascii="Arial" w:hAnsi="Arial" w:cs="Arial"/>
        </w:rPr>
      </w:pPr>
      <w:r>
        <w:rPr>
          <w:rFonts w:ascii="Arial" w:hAnsi="Arial" w:cs="Arial"/>
        </w:rPr>
        <w:t>Pain, and other, specialists across the area</w:t>
      </w:r>
      <w:r w:rsidR="00992FF2" w:rsidRPr="00957136">
        <w:rPr>
          <w:rFonts w:ascii="Arial" w:hAnsi="Arial" w:cs="Arial"/>
        </w:rPr>
        <w:t xml:space="preserve"> are seeing a disturbing number of patients who are being prescribed excessive amounts of opiates. </w:t>
      </w:r>
    </w:p>
    <w:p w:rsidR="00711FDC" w:rsidRPr="00957136" w:rsidRDefault="00711FDC" w:rsidP="00BE64E9">
      <w:pPr>
        <w:spacing w:before="60" w:afterLines="60" w:after="144"/>
        <w:rPr>
          <w:rFonts w:ascii="Arial" w:hAnsi="Arial" w:cs="Arial"/>
        </w:rPr>
      </w:pPr>
      <w:r w:rsidRPr="00957136">
        <w:rPr>
          <w:rFonts w:ascii="Arial" w:hAnsi="Arial" w:cs="Arial"/>
        </w:rPr>
        <w:t xml:space="preserve">It is recognised </w:t>
      </w:r>
      <w:r w:rsidR="0067605C">
        <w:rPr>
          <w:rFonts w:ascii="Arial" w:hAnsi="Arial" w:cs="Arial"/>
        </w:rPr>
        <w:t xml:space="preserve">that </w:t>
      </w:r>
      <w:r w:rsidRPr="00957136">
        <w:rPr>
          <w:rFonts w:ascii="Arial" w:hAnsi="Arial" w:cs="Arial"/>
        </w:rPr>
        <w:t>a small proportion of people obtain good pain relief with opioids in the long term if the dose can be kept low</w:t>
      </w:r>
      <w:r w:rsidR="0067605C">
        <w:rPr>
          <w:rFonts w:ascii="Arial" w:hAnsi="Arial" w:cs="Arial"/>
        </w:rPr>
        <w:t>,</w:t>
      </w:r>
      <w:r w:rsidRPr="00957136">
        <w:rPr>
          <w:rFonts w:ascii="Arial" w:hAnsi="Arial" w:cs="Arial"/>
        </w:rPr>
        <w:t xml:space="preserve"> and especially if their use is intermittent, but it is difficult to recognise these people at the point of initiation</w:t>
      </w:r>
    </w:p>
    <w:p w:rsidR="00992FF2" w:rsidRDefault="009753C7" w:rsidP="00BE64E9">
      <w:pPr>
        <w:spacing w:before="60" w:afterLines="60" w:after="144"/>
        <w:rPr>
          <w:rFonts w:ascii="Arial" w:hAnsi="Arial" w:cs="Arial"/>
        </w:rPr>
      </w:pPr>
      <w:hyperlink r:id="rId8" w:history="1">
        <w:r w:rsidR="00BE64E9">
          <w:rPr>
            <w:rStyle w:val="Hyperlink"/>
            <w:rFonts w:ascii="Arial" w:hAnsi="Arial" w:cs="Arial"/>
          </w:rPr>
          <w:t>NICE NG59 2016</w:t>
        </w:r>
      </w:hyperlink>
      <w:r w:rsidR="00992FF2" w:rsidRPr="00957136">
        <w:rPr>
          <w:rFonts w:ascii="Arial" w:hAnsi="Arial" w:cs="Arial"/>
        </w:rPr>
        <w:t xml:space="preserve"> </w:t>
      </w:r>
      <w:r w:rsidR="00BE64E9" w:rsidRPr="00BE64E9">
        <w:rPr>
          <w:rFonts w:ascii="Arial" w:hAnsi="Arial" w:cs="Arial"/>
          <w:i/>
        </w:rPr>
        <w:t>Low back pain and sciatica in over 16s: assessment and management</w:t>
      </w:r>
      <w:r w:rsidR="00BE64E9" w:rsidRPr="00BE64E9">
        <w:rPr>
          <w:rFonts w:ascii="Arial" w:hAnsi="Arial" w:cs="Arial"/>
        </w:rPr>
        <w:t xml:space="preserve"> </w:t>
      </w:r>
      <w:r w:rsidR="00992FF2" w:rsidRPr="00957136">
        <w:rPr>
          <w:rFonts w:ascii="Arial" w:hAnsi="Arial" w:cs="Arial"/>
        </w:rPr>
        <w:t>state</w:t>
      </w:r>
      <w:r w:rsidR="00BE64E9">
        <w:rPr>
          <w:rFonts w:ascii="Arial" w:hAnsi="Arial" w:cs="Arial"/>
        </w:rPr>
        <w:t>s</w:t>
      </w:r>
      <w:r w:rsidR="00992FF2" w:rsidRPr="00957136">
        <w:rPr>
          <w:rFonts w:ascii="Arial" w:hAnsi="Arial" w:cs="Arial"/>
        </w:rPr>
        <w:t xml:space="preserve"> ‘</w:t>
      </w:r>
      <w:r w:rsidR="00992FF2" w:rsidRPr="00957136">
        <w:rPr>
          <w:rFonts w:ascii="Arial" w:hAnsi="Arial" w:cs="Arial"/>
          <w:i/>
        </w:rPr>
        <w:t>Do not offer opioids for managing chronic low back pain’</w:t>
      </w:r>
      <w:r w:rsidR="00992FF2" w:rsidRPr="00957136">
        <w:rPr>
          <w:rFonts w:ascii="Arial" w:hAnsi="Arial" w:cs="Arial"/>
        </w:rPr>
        <w:t xml:space="preserve">. </w:t>
      </w:r>
    </w:p>
    <w:p w:rsidR="00BE64E9" w:rsidRPr="00BE64E9" w:rsidRDefault="009753C7" w:rsidP="00BE64E9">
      <w:pPr>
        <w:spacing w:before="60" w:afterLines="60" w:after="144"/>
        <w:rPr>
          <w:rFonts w:ascii="Arial" w:hAnsi="Arial" w:cs="Arial"/>
        </w:rPr>
      </w:pPr>
      <w:hyperlink r:id="rId9" w:history="1">
        <w:r w:rsidR="00BE64E9" w:rsidRPr="00BE64E9">
          <w:rPr>
            <w:rStyle w:val="Hyperlink"/>
            <w:rFonts w:ascii="Arial" w:hAnsi="Arial" w:cs="Arial"/>
          </w:rPr>
          <w:t>NICE Clinical Guideline (CG) 173</w:t>
        </w:r>
      </w:hyperlink>
      <w:r w:rsidR="00BE64E9">
        <w:rPr>
          <w:rFonts w:ascii="Arial" w:hAnsi="Arial" w:cs="Arial"/>
        </w:rPr>
        <w:t xml:space="preserve"> </w:t>
      </w:r>
      <w:r w:rsidR="00BE64E9" w:rsidRPr="00BE64E9">
        <w:rPr>
          <w:rFonts w:ascii="Arial" w:hAnsi="Arial" w:cs="Arial"/>
          <w:i/>
        </w:rPr>
        <w:t>Neuropathic pain in adults: pharmacological management in non</w:t>
      </w:r>
      <w:r w:rsidR="00BE64E9">
        <w:rPr>
          <w:rFonts w:ascii="Arial" w:hAnsi="Arial" w:cs="Arial"/>
          <w:i/>
        </w:rPr>
        <w:t>-</w:t>
      </w:r>
      <w:r w:rsidR="00BE64E9" w:rsidRPr="00BE64E9">
        <w:rPr>
          <w:rFonts w:ascii="Arial" w:hAnsi="Arial" w:cs="Arial"/>
          <w:i/>
        </w:rPr>
        <w:t xml:space="preserve">specialist settings </w:t>
      </w:r>
      <w:r w:rsidR="00BE64E9" w:rsidRPr="00BE64E9">
        <w:rPr>
          <w:rFonts w:ascii="Arial" w:hAnsi="Arial" w:cs="Arial"/>
        </w:rPr>
        <w:t xml:space="preserve">(2013) </w:t>
      </w:r>
      <w:r w:rsidR="00BE64E9">
        <w:rPr>
          <w:rFonts w:ascii="Arial" w:hAnsi="Arial" w:cs="Arial"/>
        </w:rPr>
        <w:t xml:space="preserve">recommends that </w:t>
      </w:r>
      <w:r w:rsidR="00BE64E9" w:rsidRPr="00BE64E9">
        <w:rPr>
          <w:rFonts w:ascii="Arial" w:hAnsi="Arial" w:cs="Arial"/>
        </w:rPr>
        <w:t xml:space="preserve">morphine </w:t>
      </w:r>
      <w:r w:rsidR="00BE64E9">
        <w:rPr>
          <w:rFonts w:ascii="Arial" w:hAnsi="Arial" w:cs="Arial"/>
        </w:rPr>
        <w:t xml:space="preserve">should not be started </w:t>
      </w:r>
      <w:r w:rsidR="00BE64E9" w:rsidRPr="00BE64E9">
        <w:rPr>
          <w:rFonts w:ascii="Arial" w:hAnsi="Arial" w:cs="Arial"/>
        </w:rPr>
        <w:t>to treat neuropathic pain in non-specialist settings, unless advised by a specialist</w:t>
      </w:r>
      <w:r w:rsidR="00BE64E9">
        <w:rPr>
          <w:rFonts w:ascii="Arial" w:hAnsi="Arial" w:cs="Arial"/>
        </w:rPr>
        <w:t>.</w:t>
      </w:r>
    </w:p>
    <w:p w:rsidR="00A51B4E" w:rsidRPr="00957136" w:rsidRDefault="00992FF2" w:rsidP="00BE64E9">
      <w:pPr>
        <w:spacing w:before="60" w:afterLines="60" w:after="144"/>
        <w:rPr>
          <w:rFonts w:ascii="Arial" w:hAnsi="Arial" w:cs="Arial"/>
        </w:rPr>
      </w:pPr>
      <w:r w:rsidRPr="00957136">
        <w:rPr>
          <w:rFonts w:ascii="Arial" w:hAnsi="Arial" w:cs="Arial"/>
        </w:rPr>
        <w:t>The most recently published guidelines on opiate prescribing in persistent non-malignant pain (</w:t>
      </w:r>
      <w:hyperlink r:id="rId10" w:history="1">
        <w:r w:rsidR="00711FDC" w:rsidRPr="00957136">
          <w:rPr>
            <w:rStyle w:val="Hyperlink"/>
            <w:rFonts w:ascii="Arial" w:hAnsi="Arial" w:cs="Arial"/>
          </w:rPr>
          <w:t>The 2017 Canadian Guideline for Opioids for Chronic Non-Cancer Pain</w:t>
        </w:r>
      </w:hyperlink>
      <w:r w:rsidRPr="00957136">
        <w:rPr>
          <w:rFonts w:ascii="Arial" w:hAnsi="Arial" w:cs="Arial"/>
        </w:rPr>
        <w:t>) essentially recommend a maximum of 50mg oral morphine a day or its equivalent, with possibly 90mg oral morphine a day or equivalent if good benefit demonstrated.</w:t>
      </w:r>
    </w:p>
    <w:p w:rsidR="00992FF2" w:rsidRPr="00957136" w:rsidRDefault="00992FF2" w:rsidP="00BE64E9">
      <w:pPr>
        <w:spacing w:before="60" w:afterLines="60" w:after="144"/>
        <w:rPr>
          <w:rFonts w:ascii="Arial" w:hAnsi="Arial" w:cs="Arial"/>
        </w:rPr>
      </w:pPr>
      <w:r w:rsidRPr="00957136">
        <w:rPr>
          <w:rFonts w:ascii="Arial" w:hAnsi="Arial" w:cs="Arial"/>
        </w:rPr>
        <w:t xml:space="preserve"> In the UK, Public Health England funded the Royal College of Anaesthetists to produce </w:t>
      </w:r>
      <w:hyperlink r:id="rId11" w:history="1">
        <w:r w:rsidRPr="00957136">
          <w:rPr>
            <w:rStyle w:val="Hyperlink"/>
            <w:rFonts w:ascii="Arial" w:hAnsi="Arial" w:cs="Arial"/>
          </w:rPr>
          <w:t>Opioids Aware</w:t>
        </w:r>
      </w:hyperlink>
      <w:r w:rsidR="00A51B4E" w:rsidRPr="00957136">
        <w:rPr>
          <w:rFonts w:ascii="Arial" w:hAnsi="Arial" w:cs="Arial"/>
        </w:rPr>
        <w:t xml:space="preserve"> (click to access)</w:t>
      </w:r>
      <w:r w:rsidRPr="00957136">
        <w:rPr>
          <w:rFonts w:ascii="Arial" w:hAnsi="Arial" w:cs="Arial"/>
        </w:rPr>
        <w:t xml:space="preserve">, a resource for patients and healthcare professionals to support prescribing of opioid medicines for pain, which states ‘the risk of harm increases substantially at doses above an oral  morphine equivalent  greater than 120mg/day, but there is no increased benefit’. </w:t>
      </w:r>
    </w:p>
    <w:p w:rsidR="00C06A32" w:rsidRDefault="00711FDC" w:rsidP="00BE64E9">
      <w:pPr>
        <w:pStyle w:val="Default"/>
        <w:spacing w:before="60" w:afterLines="60" w:after="144"/>
        <w:rPr>
          <w:sz w:val="22"/>
          <w:szCs w:val="22"/>
        </w:rPr>
      </w:pPr>
      <w:r w:rsidRPr="00957136">
        <w:rPr>
          <w:sz w:val="22"/>
          <w:szCs w:val="22"/>
        </w:rPr>
        <w:t>Also see</w:t>
      </w:r>
      <w:r w:rsidR="00992FF2" w:rsidRPr="00957136">
        <w:rPr>
          <w:sz w:val="22"/>
          <w:szCs w:val="22"/>
        </w:rPr>
        <w:t xml:space="preserve"> </w:t>
      </w:r>
      <w:r w:rsidR="00C06A32" w:rsidRPr="00957136">
        <w:rPr>
          <w:sz w:val="22"/>
          <w:szCs w:val="22"/>
        </w:rPr>
        <w:t>Faye’s</w:t>
      </w:r>
      <w:r w:rsidR="00957136" w:rsidRPr="00957136">
        <w:rPr>
          <w:sz w:val="22"/>
          <w:szCs w:val="22"/>
        </w:rPr>
        <w:t xml:space="preserve">’ story: </w:t>
      </w:r>
      <w:hyperlink r:id="rId12" w:history="1">
        <w:r w:rsidR="0067605C" w:rsidRPr="0067605C">
          <w:rPr>
            <w:rStyle w:val="Hyperlink"/>
            <w:sz w:val="22"/>
            <w:szCs w:val="22"/>
          </w:rPr>
          <w:t>https://improvement.nhs.uk/documents/1770/NHS_CD_Newsletter_Fayes_story_0617.pdf</w:t>
        </w:r>
      </w:hyperlink>
    </w:p>
    <w:p w:rsidR="00F1721D" w:rsidRPr="00C06A32" w:rsidRDefault="00957136" w:rsidP="00BE64E9">
      <w:pPr>
        <w:pStyle w:val="Default"/>
        <w:spacing w:before="60" w:afterLines="60" w:after="144"/>
        <w:rPr>
          <w:sz w:val="22"/>
          <w:szCs w:val="22"/>
        </w:rPr>
      </w:pPr>
      <w:r w:rsidRPr="00957136">
        <w:rPr>
          <w:i/>
          <w:sz w:val="22"/>
          <w:szCs w:val="22"/>
        </w:rPr>
        <w:t>What can happen when things go wrong when prescribing for chronic pain.</w:t>
      </w:r>
    </w:p>
    <w:sectPr w:rsidR="00F1721D" w:rsidRPr="00C06A32" w:rsidSect="00BE64E9">
      <w:headerReference w:type="default" r:id="rId13"/>
      <w:footerReference w:type="default" r:id="rId14"/>
      <w:pgSz w:w="11906" w:h="16838"/>
      <w:pgMar w:top="1395" w:right="1440" w:bottom="1276" w:left="1440" w:header="851"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03" w:rsidRDefault="00AA4F03" w:rsidP="00F1721D">
      <w:pPr>
        <w:spacing w:after="0" w:line="240" w:lineRule="auto"/>
      </w:pPr>
      <w:r>
        <w:separator/>
      </w:r>
    </w:p>
  </w:endnote>
  <w:endnote w:type="continuationSeparator" w:id="0">
    <w:p w:rsidR="00AA4F03" w:rsidRDefault="00AA4F03" w:rsidP="00F1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E9" w:rsidRDefault="00BE64E9" w:rsidP="00957136">
    <w:pPr>
      <w:spacing w:after="0"/>
      <w:jc w:val="center"/>
      <w:rPr>
        <w:b/>
      </w:rPr>
    </w:pPr>
  </w:p>
  <w:p w:rsidR="00957136" w:rsidRDefault="00957136" w:rsidP="00957136">
    <w:pPr>
      <w:spacing w:after="0"/>
      <w:jc w:val="center"/>
    </w:pPr>
    <w:r w:rsidRPr="00A51B4E">
      <w:rPr>
        <w:b/>
      </w:rPr>
      <w:t>Agreed:</w:t>
    </w:r>
    <w:r w:rsidRPr="00992FF2">
      <w:t xml:space="preserve"> </w:t>
    </w:r>
    <w:r w:rsidR="0067605C">
      <w:t>March 2020</w:t>
    </w:r>
    <w:r>
      <w:t xml:space="preserve"> </w:t>
    </w:r>
    <w:r w:rsidRPr="00992FF2">
      <w:t xml:space="preserve">by </w:t>
    </w:r>
    <w:r w:rsidR="0067605C">
      <w:t>the North of Tyne, Gateshead and North Cumbria Area Prescribing Committee</w:t>
    </w:r>
    <w:r>
      <w:t xml:space="preserve">   </w:t>
    </w:r>
    <w:r w:rsidRPr="00A51B4E">
      <w:rPr>
        <w:b/>
      </w:rPr>
      <w:t>For review:</w:t>
    </w:r>
    <w:r w:rsidRPr="00992FF2">
      <w:t xml:space="preserve"> </w:t>
    </w:r>
    <w:r w:rsidR="0067605C">
      <w:t>March 2023</w:t>
    </w:r>
  </w:p>
  <w:p w:rsidR="00957136" w:rsidRPr="00957136" w:rsidRDefault="00957136" w:rsidP="00957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03" w:rsidRDefault="00AA4F03" w:rsidP="00F1721D">
      <w:pPr>
        <w:spacing w:after="0" w:line="240" w:lineRule="auto"/>
      </w:pPr>
      <w:r>
        <w:separator/>
      </w:r>
    </w:p>
  </w:footnote>
  <w:footnote w:type="continuationSeparator" w:id="0">
    <w:p w:rsidR="00AA4F03" w:rsidRDefault="00AA4F03" w:rsidP="00F1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5C" w:rsidRDefault="0067605C" w:rsidP="0067605C">
    <w:pPr>
      <w:pStyle w:val="Header"/>
      <w:jc w:val="right"/>
    </w:pPr>
    <w:r>
      <w:rPr>
        <w:noProof/>
        <w:lang w:eastAsia="en-GB"/>
      </w:rPr>
      <w:drawing>
        <wp:inline distT="0" distB="0" distL="0" distR="0" wp14:anchorId="73760038" wp14:editId="10F348D3">
          <wp:extent cx="3524250" cy="1038225"/>
          <wp:effectExtent l="0" t="0" r="0" b="9525"/>
          <wp:docPr id="2" name="Picture 2" descr="I:\CSUs\NECS\Meds Op\NoT Archive\Commissioning\area prescribing committee\Professional secretary\NoT, Ghd &amp; N Cumbria A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Us\NECS\Meds Op\NoT Archive\Commissioning\area prescribing committee\Professional secretary\NoT, Ghd &amp; N Cumbria A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1038225"/>
                  </a:xfrm>
                  <a:prstGeom prst="rect">
                    <a:avLst/>
                  </a:prstGeom>
                  <a:noFill/>
                  <a:ln>
                    <a:noFill/>
                  </a:ln>
                </pic:spPr>
              </pic:pic>
            </a:graphicData>
          </a:graphic>
        </wp:inline>
      </w:drawing>
    </w:r>
  </w:p>
  <w:p w:rsidR="00F1721D" w:rsidRPr="00957136" w:rsidRDefault="00F1721D" w:rsidP="00957136">
    <w:pPr>
      <w:pStyle w:val="Heading1"/>
      <w:spacing w:before="120"/>
      <w:jc w:val="center"/>
      <w:rPr>
        <w:rFonts w:ascii="Arial" w:hAnsi="Arial" w:cs="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A1E"/>
    <w:multiLevelType w:val="hybridMultilevel"/>
    <w:tmpl w:val="BA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C1D52"/>
    <w:multiLevelType w:val="hybridMultilevel"/>
    <w:tmpl w:val="1B0C04C2"/>
    <w:lvl w:ilvl="0" w:tplc="9A181418">
      <w:start w:val="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B4AED"/>
    <w:multiLevelType w:val="hybridMultilevel"/>
    <w:tmpl w:val="5B16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D00935"/>
    <w:multiLevelType w:val="hybridMultilevel"/>
    <w:tmpl w:val="2E6A1B24"/>
    <w:lvl w:ilvl="0" w:tplc="6FE05BE0">
      <w:numFmt w:val="bullet"/>
      <w:lvlText w:val="•"/>
      <w:lvlJc w:val="left"/>
      <w:pPr>
        <w:ind w:left="1110" w:hanging="75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610CE1"/>
    <w:multiLevelType w:val="hybridMultilevel"/>
    <w:tmpl w:val="6F9A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92"/>
    <w:rsid w:val="0009634C"/>
    <w:rsid w:val="000C3D47"/>
    <w:rsid w:val="001C62F2"/>
    <w:rsid w:val="00210F92"/>
    <w:rsid w:val="00216F45"/>
    <w:rsid w:val="002A468D"/>
    <w:rsid w:val="002B0D87"/>
    <w:rsid w:val="002B272F"/>
    <w:rsid w:val="002D5B9C"/>
    <w:rsid w:val="003E3000"/>
    <w:rsid w:val="004C52A5"/>
    <w:rsid w:val="005E6B96"/>
    <w:rsid w:val="0067605C"/>
    <w:rsid w:val="006A0FFF"/>
    <w:rsid w:val="006D3216"/>
    <w:rsid w:val="00711FDC"/>
    <w:rsid w:val="00786076"/>
    <w:rsid w:val="00903D04"/>
    <w:rsid w:val="00917491"/>
    <w:rsid w:val="00957136"/>
    <w:rsid w:val="009753C7"/>
    <w:rsid w:val="00992FF2"/>
    <w:rsid w:val="00A51B4E"/>
    <w:rsid w:val="00A91E4D"/>
    <w:rsid w:val="00AA4F03"/>
    <w:rsid w:val="00B51377"/>
    <w:rsid w:val="00BE64E9"/>
    <w:rsid w:val="00C0300E"/>
    <w:rsid w:val="00C06A32"/>
    <w:rsid w:val="00C56B57"/>
    <w:rsid w:val="00CA725E"/>
    <w:rsid w:val="00CD5294"/>
    <w:rsid w:val="00D6518B"/>
    <w:rsid w:val="00DD39B7"/>
    <w:rsid w:val="00E14C11"/>
    <w:rsid w:val="00E41325"/>
    <w:rsid w:val="00E6287A"/>
    <w:rsid w:val="00EC3947"/>
    <w:rsid w:val="00F1721D"/>
    <w:rsid w:val="00FD5592"/>
    <w:rsid w:val="00FE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47"/>
    <w:pPr>
      <w:ind w:left="720"/>
      <w:contextualSpacing/>
    </w:pPr>
  </w:style>
  <w:style w:type="paragraph" w:styleId="Header">
    <w:name w:val="header"/>
    <w:basedOn w:val="Normal"/>
    <w:link w:val="HeaderChar"/>
    <w:uiPriority w:val="99"/>
    <w:unhideWhenUsed/>
    <w:rsid w:val="00F1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1D"/>
  </w:style>
  <w:style w:type="paragraph" w:styleId="Footer">
    <w:name w:val="footer"/>
    <w:basedOn w:val="Normal"/>
    <w:link w:val="FooterChar"/>
    <w:uiPriority w:val="99"/>
    <w:unhideWhenUsed/>
    <w:rsid w:val="00F1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1D"/>
  </w:style>
  <w:style w:type="character" w:customStyle="1" w:styleId="Heading1Char">
    <w:name w:val="Heading 1 Char"/>
    <w:basedOn w:val="DefaultParagraphFont"/>
    <w:link w:val="Heading1"/>
    <w:uiPriority w:val="9"/>
    <w:rsid w:val="00F172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1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1D"/>
    <w:rPr>
      <w:rFonts w:ascii="Tahoma" w:hAnsi="Tahoma" w:cs="Tahoma"/>
      <w:sz w:val="16"/>
      <w:szCs w:val="16"/>
    </w:rPr>
  </w:style>
  <w:style w:type="paragraph" w:customStyle="1" w:styleId="Default">
    <w:name w:val="Default"/>
    <w:rsid w:val="002B0D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92FF2"/>
    <w:rPr>
      <w:color w:val="0000FF" w:themeColor="hyperlink"/>
      <w:u w:val="single"/>
    </w:rPr>
  </w:style>
  <w:style w:type="character" w:styleId="FollowedHyperlink">
    <w:name w:val="FollowedHyperlink"/>
    <w:basedOn w:val="DefaultParagraphFont"/>
    <w:uiPriority w:val="99"/>
    <w:semiHidden/>
    <w:unhideWhenUsed/>
    <w:rsid w:val="006760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47"/>
    <w:pPr>
      <w:ind w:left="720"/>
      <w:contextualSpacing/>
    </w:pPr>
  </w:style>
  <w:style w:type="paragraph" w:styleId="Header">
    <w:name w:val="header"/>
    <w:basedOn w:val="Normal"/>
    <w:link w:val="HeaderChar"/>
    <w:uiPriority w:val="99"/>
    <w:unhideWhenUsed/>
    <w:rsid w:val="00F1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1D"/>
  </w:style>
  <w:style w:type="paragraph" w:styleId="Footer">
    <w:name w:val="footer"/>
    <w:basedOn w:val="Normal"/>
    <w:link w:val="FooterChar"/>
    <w:uiPriority w:val="99"/>
    <w:unhideWhenUsed/>
    <w:rsid w:val="00F1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1D"/>
  </w:style>
  <w:style w:type="character" w:customStyle="1" w:styleId="Heading1Char">
    <w:name w:val="Heading 1 Char"/>
    <w:basedOn w:val="DefaultParagraphFont"/>
    <w:link w:val="Heading1"/>
    <w:uiPriority w:val="9"/>
    <w:rsid w:val="00F172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1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1D"/>
    <w:rPr>
      <w:rFonts w:ascii="Tahoma" w:hAnsi="Tahoma" w:cs="Tahoma"/>
      <w:sz w:val="16"/>
      <w:szCs w:val="16"/>
    </w:rPr>
  </w:style>
  <w:style w:type="paragraph" w:customStyle="1" w:styleId="Default">
    <w:name w:val="Default"/>
    <w:rsid w:val="002B0D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92FF2"/>
    <w:rPr>
      <w:color w:val="0000FF" w:themeColor="hyperlink"/>
      <w:u w:val="single"/>
    </w:rPr>
  </w:style>
  <w:style w:type="character" w:styleId="FollowedHyperlink">
    <w:name w:val="FollowedHyperlink"/>
    <w:basedOn w:val="DefaultParagraphFont"/>
    <w:uiPriority w:val="99"/>
    <w:semiHidden/>
    <w:unhideWhenUsed/>
    <w:rsid w:val="00676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5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mprovement.nhs.uk/documents/1770/NHS_CD_Newsletter_Fayes_story_06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oa.ac.uk/faculty-of-pain-medicine/opioids-aw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tionalpaincentre.mcmaster.ca/documents/Opioid%20GL%20for%20CMAJ_01may2017.pdf" TargetMode="External"/><Relationship Id="rId4" Type="http://schemas.openxmlformats.org/officeDocument/2006/relationships/settings" Target="settings.xml"/><Relationship Id="rId9" Type="http://schemas.openxmlformats.org/officeDocument/2006/relationships/hyperlink" Target="https://www.nice.org.uk/guidance/cg173/resources/neuropathic-pain-in-adults-pharmacological-management-in-nonspecialist-settings-pdf-3510975055405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Frankland Neil (5D8) North Tyneside PCT</dc:creator>
  <cp:lastModifiedBy>Susan.Turner</cp:lastModifiedBy>
  <cp:revision>2</cp:revision>
  <dcterms:created xsi:type="dcterms:W3CDTF">2020-05-18T14:05:00Z</dcterms:created>
  <dcterms:modified xsi:type="dcterms:W3CDTF">2020-05-18T14:05:00Z</dcterms:modified>
</cp:coreProperties>
</file>