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D747FE" w:rsidRDefault="000B2847" w:rsidP="003D627F">
      <w:pPr>
        <w:tabs>
          <w:tab w:val="left" w:pos="8205"/>
        </w:tabs>
        <w:spacing w:before="100" w:beforeAutospacing="1"/>
        <w:jc w:val="center"/>
        <w:rPr>
          <w:rFonts w:ascii="Arial" w:hAnsi="Arial" w:cs="Arial"/>
          <w:sz w:val="16"/>
          <w:szCs w:val="16"/>
        </w:rPr>
      </w:pPr>
      <w:bookmarkStart w:id="0" w:name="_GoBack"/>
      <w:bookmarkEnd w:id="0"/>
      <w:r w:rsidRPr="00402561">
        <w:rPr>
          <w:rFonts w:ascii="Arial" w:hAnsi="Arial" w:cs="Arial"/>
          <w:b/>
          <w:sz w:val="36"/>
          <w:szCs w:val="36"/>
        </w:rPr>
        <w:t>SHARED CARE GUIDELINE</w:t>
      </w:r>
    </w:p>
    <w:p w:rsidR="005B2B9B" w:rsidRDefault="00B5077D" w:rsidP="000B2847">
      <w:pPr>
        <w:jc w:val="center"/>
        <w:rPr>
          <w:rFonts w:ascii="Arial" w:hAnsi="Arial" w:cs="Arial"/>
          <w:b/>
          <w:sz w:val="28"/>
          <w:szCs w:val="28"/>
        </w:rPr>
      </w:pPr>
      <w:sdt>
        <w:sdtPr>
          <w:rPr>
            <w:rFonts w:ascii="Arial" w:hAnsi="Arial" w:cs="Arial"/>
            <w:b/>
            <w:sz w:val="36"/>
            <w:szCs w:val="36"/>
          </w:rPr>
          <w:id w:val="-1215047907"/>
          <w:placeholder>
            <w:docPart w:val="DefaultPlaceholder_1082065158"/>
          </w:placeholder>
          <w:text/>
        </w:sdtPr>
        <w:sdtEndPr/>
        <w:sdtContent>
          <w:r w:rsidR="006874A2" w:rsidRPr="006874A2">
            <w:rPr>
              <w:rFonts w:ascii="Arial" w:hAnsi="Arial" w:cs="Arial"/>
              <w:b/>
              <w:sz w:val="36"/>
              <w:szCs w:val="36"/>
            </w:rPr>
            <w:t xml:space="preserve">Methotrexate for use in </w:t>
          </w:r>
          <w:r w:rsidR="006874A2">
            <w:rPr>
              <w:rFonts w:ascii="Arial" w:hAnsi="Arial" w:cs="Arial"/>
              <w:b/>
              <w:sz w:val="36"/>
              <w:szCs w:val="36"/>
            </w:rPr>
            <w:t>Rheumato</w:t>
          </w:r>
          <w:r w:rsidR="006874A2" w:rsidRPr="006874A2">
            <w:rPr>
              <w:rFonts w:ascii="Arial" w:hAnsi="Arial" w:cs="Arial"/>
              <w:b/>
              <w:sz w:val="36"/>
              <w:szCs w:val="36"/>
            </w:rPr>
            <w:t>logy</w:t>
          </w:r>
        </w:sdtContent>
      </w:sdt>
      <w:r w:rsidR="003D627F">
        <w:rPr>
          <w:rFonts w:ascii="Arial" w:hAnsi="Arial" w:cs="Arial"/>
          <w:b/>
          <w:sz w:val="28"/>
          <w:szCs w:val="28"/>
        </w:rPr>
        <w:br/>
      </w:r>
    </w:p>
    <w:p w:rsidR="000B2847" w:rsidRDefault="00AF2EFC" w:rsidP="005B2B9B">
      <w:pPr>
        <w:rPr>
          <w:rFonts w:ascii="Arial" w:hAnsi="Arial" w:cs="Arial"/>
          <w:b/>
          <w:szCs w:val="24"/>
        </w:rPr>
      </w:pPr>
      <w:r w:rsidRPr="003A6128">
        <w:rPr>
          <w:rFonts w:ascii="Arial" w:hAnsi="Arial" w:cs="Arial"/>
          <w:b/>
          <w:szCs w:val="24"/>
        </w:rPr>
        <w:t xml:space="preserve">Implementation Date: </w:t>
      </w:r>
      <w:r w:rsidR="005B2B9B">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B32EB7">
        <w:rPr>
          <w:rFonts w:ascii="Arial" w:hAnsi="Arial" w:cs="Arial"/>
          <w:b/>
          <w:szCs w:val="24"/>
        </w:rPr>
        <w:t xml:space="preserve">December </w:t>
      </w:r>
      <w:r w:rsidR="006874A2">
        <w:rPr>
          <w:rFonts w:ascii="Arial" w:hAnsi="Arial" w:cs="Arial"/>
          <w:b/>
          <w:szCs w:val="24"/>
        </w:rPr>
        <w:t>2019</w:t>
      </w:r>
      <w:r w:rsidR="005B2B9B">
        <w:rPr>
          <w:rFonts w:ascii="Arial" w:hAnsi="Arial" w:cs="Arial"/>
          <w:b/>
          <w:szCs w:val="24"/>
        </w:rPr>
        <w:t xml:space="preserve">           </w:t>
      </w:r>
      <w:r w:rsidR="000B2847" w:rsidRPr="003A6128">
        <w:rPr>
          <w:rFonts w:ascii="Arial" w:hAnsi="Arial" w:cs="Arial"/>
          <w:b/>
          <w:szCs w:val="24"/>
        </w:rPr>
        <w:t>Review Date:</w:t>
      </w:r>
      <w:r w:rsidR="00F97E80" w:rsidRPr="003A6128">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B32EB7">
        <w:rPr>
          <w:rFonts w:ascii="Arial" w:hAnsi="Arial" w:cs="Arial"/>
          <w:b/>
          <w:szCs w:val="24"/>
        </w:rPr>
        <w:t xml:space="preserve">December </w:t>
      </w:r>
      <w:r w:rsidR="006874A2">
        <w:rPr>
          <w:rFonts w:ascii="Arial" w:hAnsi="Arial" w:cs="Arial"/>
          <w:b/>
          <w:szCs w:val="24"/>
        </w:rPr>
        <w:t>202</w:t>
      </w:r>
      <w:r w:rsidR="008973F7">
        <w:rPr>
          <w:rFonts w:ascii="Arial" w:hAnsi="Arial" w:cs="Arial"/>
          <w:b/>
          <w:szCs w:val="24"/>
        </w:rPr>
        <w:t>2</w:t>
      </w:r>
    </w:p>
    <w:p w:rsidR="005B2B9B" w:rsidRPr="007B3FAE" w:rsidRDefault="005B2B9B" w:rsidP="000B2847">
      <w:pPr>
        <w:jc w:val="center"/>
        <w:rPr>
          <w:rFonts w:ascii="Arial" w:hAnsi="Arial" w:cs="Arial"/>
          <w:b/>
          <w:i/>
          <w:sz w:val="20"/>
        </w:rPr>
      </w:pPr>
    </w:p>
    <w:p w:rsidR="00E3521C" w:rsidRPr="007B3FAE" w:rsidRDefault="00E3521C" w:rsidP="00E3521C">
      <w:pPr>
        <w:jc w:val="center"/>
        <w:rPr>
          <w:rFonts w:ascii="Arial" w:hAnsi="Arial" w:cs="Arial"/>
          <w:b/>
          <w:i/>
          <w:sz w:val="20"/>
        </w:rPr>
      </w:pPr>
      <w:r w:rsidRPr="007B3FAE">
        <w:rPr>
          <w:rFonts w:ascii="Arial" w:hAnsi="Arial" w:cs="Arial"/>
          <w:b/>
          <w:i/>
          <w:sz w:val="20"/>
        </w:rPr>
        <w:t xml:space="preserve">This guidance has been prepared and approved for use within Sunderland </w:t>
      </w:r>
      <w:r>
        <w:rPr>
          <w:rFonts w:ascii="Arial" w:hAnsi="Arial" w:cs="Arial"/>
          <w:b/>
          <w:i/>
          <w:sz w:val="20"/>
        </w:rPr>
        <w:t>and South Tyneside i</w:t>
      </w:r>
      <w:r w:rsidRPr="007B3FAE">
        <w:rPr>
          <w:rFonts w:ascii="Arial" w:hAnsi="Arial" w:cs="Arial"/>
          <w:b/>
          <w:i/>
          <w:sz w:val="20"/>
        </w:rPr>
        <w:t>n consultation within the CCG</w:t>
      </w:r>
      <w:r>
        <w:rPr>
          <w:rFonts w:ascii="Arial" w:hAnsi="Arial" w:cs="Arial"/>
          <w:b/>
          <w:i/>
          <w:sz w:val="20"/>
        </w:rPr>
        <w:t>s</w:t>
      </w:r>
      <w:r w:rsidRPr="007B3FAE">
        <w:rPr>
          <w:rFonts w:ascii="Arial" w:hAnsi="Arial" w:cs="Arial"/>
          <w:b/>
          <w:i/>
          <w:sz w:val="20"/>
        </w:rPr>
        <w:t xml:space="preserve">, </w:t>
      </w:r>
      <w:r>
        <w:rPr>
          <w:rFonts w:ascii="Arial" w:hAnsi="Arial" w:cs="Arial"/>
          <w:b/>
          <w:i/>
          <w:sz w:val="20"/>
        </w:rPr>
        <w:t xml:space="preserve">and </w:t>
      </w:r>
      <w:r w:rsidRPr="007B3FAE">
        <w:rPr>
          <w:rFonts w:ascii="Arial" w:hAnsi="Arial" w:cs="Arial"/>
          <w:b/>
          <w:i/>
          <w:sz w:val="20"/>
        </w:rPr>
        <w:t>Secondary Care Trust.</w:t>
      </w:r>
    </w:p>
    <w:p w:rsidR="0045621F" w:rsidRPr="007B3FAE" w:rsidRDefault="00E3521C" w:rsidP="00E3521C">
      <w:pPr>
        <w:jc w:val="center"/>
        <w:rPr>
          <w:rFonts w:ascii="Arial" w:hAnsi="Arial" w:cs="Arial"/>
          <w:b/>
          <w:i/>
          <w:sz w:val="20"/>
        </w:rPr>
      </w:pPr>
      <w:r w:rsidRPr="007B3FAE">
        <w:rPr>
          <w:rFonts w:ascii="Arial" w:hAnsi="Arial" w:cs="Arial"/>
          <w:b/>
          <w:i/>
          <w:sz w:val="20"/>
        </w:rPr>
        <w:t>The guideline sets out the details of the transfer of prescribing and respective responsibilities of GPs and specialist services within shared care prescribing arrangements. It is intended to provide sufficient information to allow GPs to prescribe this treatment within a shared care setting</w:t>
      </w:r>
      <w:r w:rsidR="004E7BEB">
        <w:rPr>
          <w:rFonts w:ascii="Arial" w:hAnsi="Arial" w:cs="Arial"/>
          <w:b/>
          <w:i/>
          <w:sz w:val="20"/>
        </w:rPr>
        <w:br/>
      </w:r>
    </w:p>
    <w:p w:rsidR="000B2847" w:rsidRPr="00402561" w:rsidRDefault="000B2847" w:rsidP="000B2847">
      <w:pPr>
        <w:rPr>
          <w:rFonts w:ascii="Arial" w:hAnsi="Arial" w:cs="Arial"/>
          <w:b/>
        </w:rPr>
      </w:pPr>
      <w:r w:rsidRPr="00402561">
        <w:rPr>
          <w:rFonts w:ascii="Arial" w:hAnsi="Arial" w:cs="Arial"/>
          <w:b/>
        </w:rPr>
        <w:t>Approved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90"/>
      </w:tblGrid>
      <w:tr w:rsidR="000B2847" w:rsidRPr="00836EF9" w:rsidTr="00C9098A">
        <w:tc>
          <w:tcPr>
            <w:tcW w:w="6408" w:type="dxa"/>
            <w:shd w:val="clear" w:color="auto" w:fill="auto"/>
          </w:tcPr>
          <w:p w:rsidR="000B2847" w:rsidRPr="00836EF9" w:rsidRDefault="000B2847" w:rsidP="00836EF9">
            <w:pPr>
              <w:jc w:val="center"/>
              <w:rPr>
                <w:rFonts w:ascii="Arial" w:hAnsi="Arial" w:cs="Arial"/>
                <w:b/>
              </w:rPr>
            </w:pPr>
            <w:r w:rsidRPr="00836EF9">
              <w:rPr>
                <w:rFonts w:ascii="Arial" w:hAnsi="Arial" w:cs="Arial"/>
                <w:b/>
              </w:rPr>
              <w:t>Committee</w:t>
            </w:r>
          </w:p>
        </w:tc>
        <w:tc>
          <w:tcPr>
            <w:tcW w:w="4190" w:type="dxa"/>
            <w:shd w:val="clear" w:color="auto" w:fill="auto"/>
          </w:tcPr>
          <w:p w:rsidR="000B2847" w:rsidRPr="00836EF9" w:rsidRDefault="000B2847" w:rsidP="00836EF9">
            <w:pPr>
              <w:jc w:val="center"/>
              <w:rPr>
                <w:rFonts w:ascii="Arial" w:hAnsi="Arial" w:cs="Arial"/>
                <w:b/>
              </w:rPr>
            </w:pPr>
            <w:r w:rsidRPr="00836EF9">
              <w:rPr>
                <w:rFonts w:ascii="Arial" w:hAnsi="Arial" w:cs="Arial"/>
                <w:b/>
              </w:rPr>
              <w:t>Date</w:t>
            </w:r>
          </w:p>
        </w:tc>
      </w:tr>
      <w:tr w:rsidR="000B2847" w:rsidRPr="00836EF9" w:rsidTr="00C9098A">
        <w:tc>
          <w:tcPr>
            <w:tcW w:w="6408" w:type="dxa"/>
            <w:shd w:val="clear" w:color="auto" w:fill="auto"/>
          </w:tcPr>
          <w:p w:rsidR="000B2847" w:rsidRPr="00CC62D8" w:rsidRDefault="000B2847" w:rsidP="007C745F">
            <w:pPr>
              <w:rPr>
                <w:rFonts w:ascii="Arial" w:hAnsi="Arial" w:cs="Arial"/>
                <w:b/>
                <w:sz w:val="22"/>
                <w:szCs w:val="22"/>
              </w:rPr>
            </w:pPr>
          </w:p>
        </w:tc>
        <w:tc>
          <w:tcPr>
            <w:tcW w:w="4190" w:type="dxa"/>
            <w:shd w:val="clear" w:color="auto" w:fill="auto"/>
          </w:tcPr>
          <w:p w:rsidR="000B2847" w:rsidRPr="00CC62D8" w:rsidRDefault="000B2847" w:rsidP="00CC62D8">
            <w:pPr>
              <w:tabs>
                <w:tab w:val="left" w:pos="527"/>
              </w:tabs>
              <w:rPr>
                <w:rFonts w:ascii="Arial" w:hAnsi="Arial" w:cs="Arial"/>
                <w:b/>
                <w:sz w:val="22"/>
                <w:szCs w:val="22"/>
              </w:rPr>
            </w:pPr>
          </w:p>
        </w:tc>
      </w:tr>
      <w:tr w:rsidR="000B2847" w:rsidRPr="00836EF9" w:rsidTr="00C9098A">
        <w:tc>
          <w:tcPr>
            <w:tcW w:w="6408" w:type="dxa"/>
            <w:shd w:val="clear" w:color="auto" w:fill="auto"/>
          </w:tcPr>
          <w:p w:rsidR="000B2847" w:rsidRPr="00836EF9" w:rsidRDefault="000B2847" w:rsidP="00291EA7">
            <w:pPr>
              <w:rPr>
                <w:rFonts w:ascii="Arial" w:hAnsi="Arial" w:cs="Arial"/>
                <w:b/>
                <w:sz w:val="20"/>
              </w:rPr>
            </w:pPr>
          </w:p>
        </w:tc>
        <w:tc>
          <w:tcPr>
            <w:tcW w:w="4190" w:type="dxa"/>
            <w:shd w:val="clear" w:color="auto" w:fill="auto"/>
          </w:tcPr>
          <w:p w:rsidR="000B2847" w:rsidRPr="00836EF9" w:rsidRDefault="000B2847" w:rsidP="00291EA7">
            <w:pPr>
              <w:rPr>
                <w:rFonts w:ascii="Arial" w:hAnsi="Arial" w:cs="Arial"/>
                <w:b/>
              </w:rPr>
            </w:pPr>
          </w:p>
        </w:tc>
      </w:tr>
    </w:tbl>
    <w:p w:rsidR="00865DD3" w:rsidRDefault="00865DD3" w:rsidP="006114CC">
      <w:pPr>
        <w:tabs>
          <w:tab w:val="left" w:pos="2280"/>
        </w:tabs>
        <w:rPr>
          <w:rFonts w:ascii="Arial" w:hAnsi="Arial" w:cs="Arial"/>
          <w:b/>
          <w:szCs w:val="24"/>
        </w:rPr>
      </w:pPr>
    </w:p>
    <w:p w:rsidR="005F438A" w:rsidRPr="004E7BEB" w:rsidRDefault="004E7BEB" w:rsidP="004E7BEB">
      <w:pPr>
        <w:shd w:val="clear" w:color="auto" w:fill="FFFFFF" w:themeFill="background1"/>
        <w:rPr>
          <w:rFonts w:ascii="Arial" w:hAnsi="Arial" w:cs="Arial"/>
          <w:b/>
          <w:bCs/>
          <w:szCs w:val="24"/>
        </w:rPr>
      </w:pPr>
      <w:r w:rsidRPr="007B3FAE">
        <w:rPr>
          <w:rFonts w:ascii="Arial" w:hAnsi="Arial" w:cs="Arial"/>
          <w:b/>
          <w:bCs/>
          <w:szCs w:val="24"/>
        </w:rPr>
        <w:t>Instructions for completion:</w:t>
      </w:r>
      <w:r w:rsidR="00195B32">
        <w:rPr>
          <w:rFonts w:ascii="Arial" w:hAnsi="Arial" w:cs="Arial"/>
          <w:b/>
          <w:bCs/>
          <w:szCs w:val="24"/>
        </w:rPr>
        <w:br/>
      </w:r>
    </w:p>
    <w:p w:rsidR="005F438A" w:rsidRDefault="004E7BEB" w:rsidP="006114CC">
      <w:pPr>
        <w:tabs>
          <w:tab w:val="left" w:pos="2280"/>
        </w:tabs>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68A3C911" wp14:editId="6E657521">
                <wp:simplePos x="0" y="0"/>
                <wp:positionH relativeFrom="column">
                  <wp:posOffset>-116958</wp:posOffset>
                </wp:positionH>
                <wp:positionV relativeFrom="paragraph">
                  <wp:posOffset>1935</wp:posOffset>
                </wp:positionV>
                <wp:extent cx="6772275" cy="1020725"/>
                <wp:effectExtent l="0" t="0" r="2857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20725"/>
                        </a:xfrm>
                        <a:prstGeom prst="rect">
                          <a:avLst/>
                        </a:prstGeom>
                        <a:solidFill>
                          <a:srgbClr val="FFFFFF"/>
                        </a:solidFill>
                        <a:ln w="9525">
                          <a:solidFill>
                            <a:srgbClr val="000000"/>
                          </a:solidFill>
                          <a:miter lim="800000"/>
                          <a:headEnd/>
                          <a:tailEnd/>
                        </a:ln>
                      </wps:spPr>
                      <wps:txb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2pt;margin-top:.15pt;width:533.2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">
                <v:textbo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v:textbox>
              </v:shape>
            </w:pict>
          </mc:Fallback>
        </mc:AlternateContent>
      </w:r>
    </w:p>
    <w:p w:rsidR="005F438A" w:rsidRDefault="005F438A" w:rsidP="006114CC">
      <w:pPr>
        <w:tabs>
          <w:tab w:val="left" w:pos="2280"/>
        </w:tabs>
        <w:rPr>
          <w:rFonts w:ascii="Arial" w:hAnsi="Arial" w:cs="Arial"/>
          <w:b/>
          <w:szCs w:val="24"/>
        </w:rPr>
      </w:pPr>
    </w:p>
    <w:p w:rsidR="007B3FAE" w:rsidRDefault="005F438A" w:rsidP="006114CC">
      <w:pPr>
        <w:tabs>
          <w:tab w:val="left" w:pos="2280"/>
        </w:tabs>
        <w:rPr>
          <w:rFonts w:ascii="Arial" w:hAnsi="Arial" w:cs="Arial"/>
          <w:b/>
          <w:szCs w:val="24"/>
        </w:rPr>
      </w:pPr>
      <w:r>
        <w:rPr>
          <w:rFonts w:ascii="Arial" w:hAnsi="Arial" w:cs="Arial"/>
          <w:b/>
          <w:szCs w:val="24"/>
        </w:rPr>
        <w:br/>
      </w:r>
    </w:p>
    <w:p w:rsidR="007B3FAE" w:rsidRDefault="007B3FAE" w:rsidP="006114CC">
      <w:pPr>
        <w:tabs>
          <w:tab w:val="left" w:pos="2280"/>
        </w:tabs>
        <w:rPr>
          <w:rFonts w:ascii="Arial" w:hAnsi="Arial" w:cs="Arial"/>
          <w:b/>
          <w:szCs w:val="24"/>
        </w:rPr>
      </w:pPr>
    </w:p>
    <w:p w:rsidR="000F1103" w:rsidRDefault="000F1103" w:rsidP="006114CC">
      <w:pPr>
        <w:tabs>
          <w:tab w:val="left" w:pos="2280"/>
        </w:tabs>
        <w:rPr>
          <w:rFonts w:ascii="Arial" w:hAnsi="Arial" w:cs="Arial"/>
          <w:b/>
          <w:szCs w:val="24"/>
        </w:rPr>
      </w:pPr>
    </w:p>
    <w:p w:rsidR="00DB567B" w:rsidRPr="006114CC" w:rsidRDefault="000F1103" w:rsidP="006114CC">
      <w:pPr>
        <w:tabs>
          <w:tab w:val="left" w:pos="2280"/>
        </w:tabs>
        <w:rPr>
          <w:rFonts w:ascii="Arial" w:hAnsi="Arial" w:cs="Arial"/>
          <w:b/>
          <w:szCs w:val="24"/>
        </w:rPr>
      </w:pPr>
      <w:r>
        <w:rPr>
          <w:rFonts w:ascii="Arial" w:hAnsi="Arial" w:cs="Arial"/>
          <w:b/>
          <w:szCs w:val="24"/>
        </w:rPr>
        <w:br/>
      </w:r>
      <w:r w:rsidR="006114CC" w:rsidRPr="006114CC">
        <w:rPr>
          <w:rFonts w:ascii="Arial" w:hAnsi="Arial" w:cs="Arial"/>
          <w:b/>
          <w:szCs w:val="24"/>
        </w:rPr>
        <w:t>Clinical details:</w:t>
      </w:r>
    </w:p>
    <w:tbl>
      <w:tblPr>
        <w:tblW w:w="5000" w:type="pct"/>
        <w:jc w:val="center"/>
        <w:tblCellMar>
          <w:left w:w="107" w:type="dxa"/>
          <w:right w:w="107" w:type="dxa"/>
        </w:tblCellMar>
        <w:tblLook w:val="0000" w:firstRow="0" w:lastRow="0" w:firstColumn="0" w:lastColumn="0" w:noHBand="0" w:noVBand="0"/>
      </w:tblPr>
      <w:tblGrid>
        <w:gridCol w:w="2231"/>
        <w:gridCol w:w="2410"/>
        <w:gridCol w:w="2696"/>
        <w:gridCol w:w="526"/>
        <w:gridCol w:w="1175"/>
        <w:gridCol w:w="1643"/>
      </w:tblGrid>
      <w:tr w:rsidR="00EA45B9" w:rsidRPr="00402561" w:rsidTr="00EA45B9">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EA45B9" w:rsidRPr="00C9098A" w:rsidRDefault="00EA45B9">
            <w:pPr>
              <w:pStyle w:val="Heading2"/>
              <w:rPr>
                <w:rFonts w:cs="Arial"/>
                <w:sz w:val="24"/>
                <w:szCs w:val="24"/>
              </w:rPr>
            </w:pPr>
            <w:r w:rsidRPr="00C9098A">
              <w:rPr>
                <w:rFonts w:cs="Arial"/>
                <w:sz w:val="24"/>
                <w:szCs w:val="24"/>
              </w:rPr>
              <w:t>SHARED CARE GUIDELINE</w:t>
            </w:r>
          </w:p>
        </w:tc>
      </w:tr>
      <w:tr w:rsidR="00B0218A" w:rsidRPr="00C9098A" w:rsidTr="00B0218A">
        <w:trPr>
          <w:trHeight w:val="539"/>
          <w:jc w:val="center"/>
        </w:trPr>
        <w:tc>
          <w:tcPr>
            <w:tcW w:w="1045" w:type="pct"/>
            <w:tcBorders>
              <w:top w:val="single" w:sz="6" w:space="0" w:color="auto"/>
              <w:left w:val="single" w:sz="6" w:space="0" w:color="auto"/>
              <w:bottom w:val="single" w:sz="6" w:space="0" w:color="auto"/>
            </w:tcBorders>
            <w:shd w:val="pct5" w:color="auto" w:fill="auto"/>
            <w:vAlign w:val="center"/>
          </w:tcPr>
          <w:p w:rsidR="00B0218A" w:rsidRPr="00C9098A" w:rsidRDefault="00B0218A" w:rsidP="00BD7342">
            <w:pPr>
              <w:pStyle w:val="Footer"/>
              <w:tabs>
                <w:tab w:val="clear" w:pos="4153"/>
                <w:tab w:val="clear" w:pos="8306"/>
              </w:tabs>
              <w:rPr>
                <w:rFonts w:ascii="Arial" w:hAnsi="Arial" w:cs="Arial"/>
                <w:szCs w:val="24"/>
              </w:rPr>
            </w:pPr>
            <w:r w:rsidRPr="00C9098A">
              <w:rPr>
                <w:rFonts w:ascii="Arial" w:hAnsi="Arial" w:cs="Arial"/>
                <w:szCs w:val="24"/>
              </w:rPr>
              <w:t>Non-proprietary name</w:t>
            </w:r>
          </w:p>
        </w:tc>
        <w:tc>
          <w:tcPr>
            <w:tcW w:w="1128" w:type="pct"/>
            <w:tcBorders>
              <w:top w:val="single" w:sz="6" w:space="0" w:color="auto"/>
              <w:left w:val="single" w:sz="6" w:space="0" w:color="auto"/>
              <w:bottom w:val="single" w:sz="6" w:space="0" w:color="auto"/>
              <w:right w:val="single" w:sz="6" w:space="0" w:color="auto"/>
            </w:tcBorders>
            <w:vAlign w:val="center"/>
          </w:tcPr>
          <w:p w:rsidR="00B0218A" w:rsidRPr="006874A2" w:rsidRDefault="00B0218A" w:rsidP="006874A2">
            <w:pPr>
              <w:rPr>
                <w:rFonts w:ascii="Arial" w:hAnsi="Arial" w:cs="Arial"/>
                <w:szCs w:val="24"/>
              </w:rPr>
            </w:pPr>
            <w:r w:rsidRPr="006874A2">
              <w:rPr>
                <w:rFonts w:ascii="Arial" w:hAnsi="Arial" w:cs="Arial"/>
                <w:szCs w:val="24"/>
              </w:rPr>
              <w:t>Methotrexate</w:t>
            </w:r>
          </w:p>
        </w:tc>
        <w:tc>
          <w:tcPr>
            <w:tcW w:w="1262" w:type="pct"/>
            <w:tcBorders>
              <w:top w:val="single" w:sz="6" w:space="0" w:color="auto"/>
              <w:left w:val="single" w:sz="6" w:space="0" w:color="auto"/>
              <w:bottom w:val="single" w:sz="6" w:space="0" w:color="auto"/>
              <w:right w:val="single" w:sz="6" w:space="0" w:color="auto"/>
            </w:tcBorders>
            <w:shd w:val="clear" w:color="auto" w:fill="F2F2F2"/>
          </w:tcPr>
          <w:p w:rsidR="00B0218A" w:rsidRDefault="00B0218A" w:rsidP="00B0218A">
            <w:pPr>
              <w:rPr>
                <w:rFonts w:ascii="Arial" w:hAnsi="Arial" w:cs="Arial"/>
                <w:szCs w:val="24"/>
              </w:rPr>
            </w:pPr>
            <w:r>
              <w:rPr>
                <w:rFonts w:ascii="Arial" w:hAnsi="Arial" w:cs="Arial"/>
                <w:szCs w:val="24"/>
              </w:rPr>
              <w:t>Licensed</w:t>
            </w:r>
          </w:p>
          <w:p w:rsidR="00B0218A" w:rsidRPr="00C9098A" w:rsidRDefault="00B0218A" w:rsidP="00B0218A">
            <w:pPr>
              <w:rPr>
                <w:rFonts w:ascii="Arial" w:hAnsi="Arial" w:cs="Arial"/>
                <w:szCs w:val="24"/>
              </w:rPr>
            </w:pPr>
            <w:r>
              <w:rPr>
                <w:rFonts w:ascii="Arial" w:hAnsi="Arial" w:cs="Arial"/>
                <w:szCs w:val="24"/>
              </w:rPr>
              <w:t>Y/N?</w:t>
            </w:r>
          </w:p>
        </w:tc>
        <w:tc>
          <w:tcPr>
            <w:tcW w:w="1565" w:type="pct"/>
            <w:gridSpan w:val="3"/>
            <w:tcBorders>
              <w:top w:val="single" w:sz="6" w:space="0" w:color="auto"/>
              <w:left w:val="single" w:sz="6" w:space="0" w:color="auto"/>
              <w:bottom w:val="single" w:sz="6" w:space="0" w:color="auto"/>
              <w:right w:val="single" w:sz="6" w:space="0" w:color="auto"/>
            </w:tcBorders>
            <w:vAlign w:val="center"/>
          </w:tcPr>
          <w:p w:rsidR="00B0218A" w:rsidRPr="00025FAD" w:rsidRDefault="00B0218A" w:rsidP="00025FAD">
            <w:pPr>
              <w:jc w:val="center"/>
              <w:rPr>
                <w:rFonts w:ascii="Arial" w:hAnsi="Arial" w:cs="Arial"/>
                <w:szCs w:val="24"/>
              </w:rPr>
            </w:pPr>
            <w:r>
              <w:rPr>
                <w:rFonts w:ascii="Arial" w:hAnsi="Arial" w:cs="Arial"/>
                <w:szCs w:val="24"/>
              </w:rPr>
              <w:t>Y</w:t>
            </w:r>
          </w:p>
        </w:tc>
      </w:tr>
      <w:tr w:rsidR="00EA45B9" w:rsidRPr="00C9098A" w:rsidTr="00B0218A">
        <w:trPr>
          <w:trHeight w:val="539"/>
          <w:jc w:val="center"/>
        </w:trPr>
        <w:tc>
          <w:tcPr>
            <w:tcW w:w="1045" w:type="pct"/>
            <w:tcBorders>
              <w:top w:val="single" w:sz="6" w:space="0" w:color="auto"/>
              <w:left w:val="single" w:sz="6" w:space="0" w:color="auto"/>
            </w:tcBorders>
            <w:shd w:val="pct5" w:color="auto" w:fill="auto"/>
            <w:vAlign w:val="center"/>
          </w:tcPr>
          <w:p w:rsidR="00EA45B9" w:rsidRPr="00C9098A" w:rsidRDefault="00EA45B9" w:rsidP="00BD7342">
            <w:pPr>
              <w:rPr>
                <w:rFonts w:ascii="Arial" w:hAnsi="Arial" w:cs="Arial"/>
                <w:szCs w:val="24"/>
              </w:rPr>
            </w:pPr>
            <w:r w:rsidRPr="00C9098A">
              <w:rPr>
                <w:rFonts w:ascii="Arial" w:hAnsi="Arial" w:cs="Arial"/>
                <w:szCs w:val="24"/>
              </w:rPr>
              <w:t>Dosage form and strength</w:t>
            </w:r>
          </w:p>
        </w:tc>
        <w:tc>
          <w:tcPr>
            <w:tcW w:w="2636" w:type="pct"/>
            <w:gridSpan w:val="3"/>
            <w:tcBorders>
              <w:top w:val="single" w:sz="6" w:space="0" w:color="auto"/>
              <w:left w:val="single" w:sz="6" w:space="0" w:color="auto"/>
              <w:right w:val="single" w:sz="6" w:space="0" w:color="auto"/>
            </w:tcBorders>
            <w:vAlign w:val="center"/>
          </w:tcPr>
          <w:p w:rsidR="00EA45B9" w:rsidRPr="008B44DA" w:rsidRDefault="00025FAD" w:rsidP="00BB540D">
            <w:pPr>
              <w:rPr>
                <w:rFonts w:ascii="Arial" w:hAnsi="Arial" w:cs="Arial"/>
                <w:i/>
                <w:szCs w:val="24"/>
              </w:rPr>
            </w:pPr>
            <w:r w:rsidRPr="008B44DA">
              <w:rPr>
                <w:rFonts w:ascii="Arial" w:hAnsi="Arial" w:cs="Arial"/>
                <w:szCs w:val="24"/>
              </w:rPr>
              <w:t xml:space="preserve">Tablets.  To avoid fatal accidents please prescribe </w:t>
            </w:r>
            <w:r w:rsidRPr="008B44DA">
              <w:rPr>
                <w:rFonts w:ascii="Arial" w:hAnsi="Arial" w:cs="Arial"/>
                <w:b/>
                <w:szCs w:val="24"/>
              </w:rPr>
              <w:t>2.5mg</w:t>
            </w:r>
            <w:r w:rsidRPr="008B44DA">
              <w:rPr>
                <w:rFonts w:ascii="Arial" w:hAnsi="Arial" w:cs="Arial"/>
                <w:szCs w:val="24"/>
              </w:rPr>
              <w:t xml:space="preserve"> tablets only</w:t>
            </w:r>
          </w:p>
        </w:tc>
        <w:tc>
          <w:tcPr>
            <w:tcW w:w="550" w:type="pct"/>
            <w:tcBorders>
              <w:top w:val="single" w:sz="6" w:space="0" w:color="auto"/>
              <w:left w:val="single" w:sz="6" w:space="0" w:color="auto"/>
              <w:right w:val="single" w:sz="6" w:space="0" w:color="auto"/>
            </w:tcBorders>
            <w:shd w:val="clear" w:color="auto" w:fill="F2F2F2"/>
          </w:tcPr>
          <w:p w:rsidR="00EA45B9" w:rsidRPr="00C9098A" w:rsidRDefault="00EA45B9" w:rsidP="00BD7342">
            <w:pPr>
              <w:rPr>
                <w:rFonts w:ascii="Arial" w:hAnsi="Arial" w:cs="Arial"/>
                <w:szCs w:val="24"/>
              </w:rPr>
            </w:pPr>
            <w:r w:rsidRPr="00EA45B9">
              <w:rPr>
                <w:rFonts w:ascii="Arial" w:hAnsi="Arial" w:cs="Arial"/>
                <w:szCs w:val="24"/>
              </w:rPr>
              <w:t>BNF class</w:t>
            </w:r>
          </w:p>
        </w:tc>
        <w:tc>
          <w:tcPr>
            <w:tcW w:w="769" w:type="pct"/>
            <w:tcBorders>
              <w:top w:val="single" w:sz="6" w:space="0" w:color="auto"/>
              <w:left w:val="single" w:sz="6" w:space="0" w:color="auto"/>
              <w:right w:val="single" w:sz="6" w:space="0" w:color="auto"/>
            </w:tcBorders>
            <w:shd w:val="solid" w:color="FFFFFF" w:fill="auto"/>
            <w:vAlign w:val="center"/>
          </w:tcPr>
          <w:p w:rsidR="00EA45B9" w:rsidRPr="00025FAD" w:rsidRDefault="00025FAD" w:rsidP="00025FAD">
            <w:pPr>
              <w:jc w:val="center"/>
              <w:rPr>
                <w:rFonts w:ascii="Arial" w:hAnsi="Arial" w:cs="Arial"/>
                <w:szCs w:val="24"/>
              </w:rPr>
            </w:pPr>
            <w:r w:rsidRPr="00025FAD">
              <w:rPr>
                <w:rFonts w:ascii="Arial" w:hAnsi="Arial" w:cs="Arial"/>
                <w:szCs w:val="24"/>
              </w:rPr>
              <w:t>8.1.3</w:t>
            </w:r>
          </w:p>
        </w:tc>
      </w:tr>
    </w:tbl>
    <w:p w:rsidR="008817AF" w:rsidRPr="00C9098A" w:rsidRDefault="008817AF" w:rsidP="008817AF">
      <w:pPr>
        <w:rPr>
          <w:vanish/>
          <w:szCs w:val="24"/>
        </w:rPr>
      </w:pPr>
    </w:p>
    <w:p w:rsidR="008817AF" w:rsidRPr="00C9098A" w:rsidRDefault="008817AF" w:rsidP="008817AF">
      <w:pPr>
        <w:rPr>
          <w:vanish/>
          <w:szCs w:val="24"/>
        </w:rPr>
      </w:pPr>
    </w:p>
    <w:tbl>
      <w:tblPr>
        <w:tblW w:w="5015" w:type="pct"/>
        <w:jc w:val="center"/>
        <w:tblLayout w:type="fixed"/>
        <w:tblCellMar>
          <w:left w:w="107" w:type="dxa"/>
          <w:right w:w="107" w:type="dxa"/>
        </w:tblCellMar>
        <w:tblLook w:val="0000" w:firstRow="0" w:lastRow="0" w:firstColumn="0" w:lastColumn="0" w:noHBand="0" w:noVBand="0"/>
      </w:tblPr>
      <w:tblGrid>
        <w:gridCol w:w="2250"/>
        <w:gridCol w:w="8433"/>
        <w:gridCol w:w="30"/>
      </w:tblGrid>
      <w:tr w:rsidR="007108FD" w:rsidRPr="00C9098A" w:rsidTr="000109A6">
        <w:trPr>
          <w:gridAfter w:val="1"/>
          <w:wAfter w:w="14" w:type="pct"/>
          <w:trHeight w:val="503"/>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C9098A" w:rsidRDefault="00443834" w:rsidP="00BD7342">
            <w:pPr>
              <w:rPr>
                <w:rFonts w:ascii="Arial" w:hAnsi="Arial" w:cs="Arial"/>
                <w:szCs w:val="24"/>
              </w:rPr>
            </w:pPr>
            <w:r w:rsidRPr="00C9098A">
              <w:rPr>
                <w:rFonts w:ascii="Arial" w:hAnsi="Arial" w:cs="Arial"/>
                <w:szCs w:val="24"/>
              </w:rPr>
              <w:t>Indication</w:t>
            </w:r>
          </w:p>
        </w:tc>
        <w:tc>
          <w:tcPr>
            <w:tcW w:w="3936" w:type="pct"/>
            <w:tcBorders>
              <w:top w:val="single" w:sz="6" w:space="0" w:color="auto"/>
              <w:left w:val="single" w:sz="6" w:space="0" w:color="auto"/>
              <w:bottom w:val="single" w:sz="6" w:space="0" w:color="auto"/>
              <w:right w:val="single" w:sz="6" w:space="0" w:color="auto"/>
            </w:tcBorders>
            <w:vAlign w:val="center"/>
          </w:tcPr>
          <w:p w:rsidR="007108FD" w:rsidRPr="00025FAD" w:rsidRDefault="00025FAD" w:rsidP="00BC05C7">
            <w:pPr>
              <w:rPr>
                <w:rFonts w:ascii="Arial" w:hAnsi="Arial" w:cs="Arial"/>
                <w:szCs w:val="24"/>
              </w:rPr>
            </w:pPr>
            <w:r w:rsidRPr="00025FAD">
              <w:rPr>
                <w:rFonts w:ascii="Arial" w:hAnsi="Arial" w:cs="Arial"/>
                <w:szCs w:val="24"/>
              </w:rPr>
              <w:t>Moderate to severe</w:t>
            </w:r>
            <w:r w:rsidR="00E44E5C">
              <w:rPr>
                <w:rFonts w:ascii="Arial" w:hAnsi="Arial" w:cs="Arial"/>
                <w:szCs w:val="24"/>
              </w:rPr>
              <w:t xml:space="preserve"> inflammatory arthritis</w:t>
            </w:r>
            <w:r w:rsidR="000D1E3F">
              <w:rPr>
                <w:rFonts w:ascii="Arial" w:hAnsi="Arial" w:cs="Arial"/>
                <w:szCs w:val="24"/>
              </w:rPr>
              <w:t>, connective tissue disease, vasculitis</w:t>
            </w:r>
          </w:p>
        </w:tc>
      </w:tr>
      <w:tr w:rsidR="00503C14"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503C14" w:rsidRPr="00C9098A" w:rsidRDefault="00503C14" w:rsidP="00BD7342">
            <w:pPr>
              <w:rPr>
                <w:rFonts w:ascii="Arial" w:hAnsi="Arial" w:cs="Arial"/>
                <w:szCs w:val="24"/>
              </w:rPr>
            </w:pPr>
            <w:r w:rsidRPr="00C9098A">
              <w:rPr>
                <w:rFonts w:ascii="Arial" w:hAnsi="Arial" w:cs="Arial"/>
                <w:szCs w:val="24"/>
              </w:rPr>
              <w:t xml:space="preserve">Dosage and </w:t>
            </w:r>
            <w:r w:rsidR="00263CA2" w:rsidRPr="00C9098A">
              <w:rPr>
                <w:rFonts w:ascii="Arial" w:hAnsi="Arial" w:cs="Arial"/>
                <w:szCs w:val="24"/>
              </w:rPr>
              <w:t>Administration</w:t>
            </w:r>
          </w:p>
        </w:tc>
        <w:tc>
          <w:tcPr>
            <w:tcW w:w="3936" w:type="pct"/>
            <w:tcBorders>
              <w:top w:val="single" w:sz="6" w:space="0" w:color="auto"/>
              <w:left w:val="single" w:sz="6" w:space="0" w:color="auto"/>
              <w:bottom w:val="single" w:sz="6" w:space="0" w:color="auto"/>
              <w:right w:val="single" w:sz="6" w:space="0" w:color="auto"/>
            </w:tcBorders>
            <w:vAlign w:val="center"/>
          </w:tcPr>
          <w:p w:rsidR="00C02D9C" w:rsidRDefault="008B44DA" w:rsidP="00BB540D">
            <w:pPr>
              <w:rPr>
                <w:rFonts w:ascii="Arial" w:hAnsi="Arial" w:cs="Arial"/>
                <w:szCs w:val="24"/>
              </w:rPr>
            </w:pPr>
            <w:r>
              <w:rPr>
                <w:rFonts w:ascii="Arial" w:hAnsi="Arial" w:cs="Arial"/>
                <w:szCs w:val="24"/>
              </w:rPr>
              <w:t>Dosage of methotrexate is</w:t>
            </w:r>
            <w:r w:rsidR="00025FAD" w:rsidRPr="00025FAD">
              <w:rPr>
                <w:rFonts w:ascii="Arial" w:hAnsi="Arial" w:cs="Arial"/>
                <w:szCs w:val="24"/>
              </w:rPr>
              <w:t xml:space="preserve"> </w:t>
            </w:r>
            <w:r w:rsidR="00025FAD" w:rsidRPr="00025FAD">
              <w:rPr>
                <w:rFonts w:ascii="Arial" w:hAnsi="Arial" w:cs="Arial"/>
                <w:b/>
                <w:szCs w:val="24"/>
              </w:rPr>
              <w:t>once weekly</w:t>
            </w:r>
            <w:r w:rsidRPr="008B44DA">
              <w:rPr>
                <w:rFonts w:ascii="Arial" w:hAnsi="Arial" w:cs="Arial"/>
                <w:szCs w:val="24"/>
              </w:rPr>
              <w:t>.  Initial dose to be determined by consultant rheumatologist</w:t>
            </w:r>
            <w:r w:rsidR="00025FAD" w:rsidRPr="00025FAD">
              <w:rPr>
                <w:rFonts w:ascii="Arial" w:hAnsi="Arial" w:cs="Arial"/>
                <w:szCs w:val="24"/>
              </w:rPr>
              <w:t>, then adjusted according to response</w:t>
            </w:r>
            <w:r>
              <w:rPr>
                <w:rFonts w:ascii="Arial" w:hAnsi="Arial" w:cs="Arial"/>
                <w:szCs w:val="24"/>
              </w:rPr>
              <w:t>.  Aim to titrate to 2</w:t>
            </w:r>
            <w:r w:rsidR="00E44E5C">
              <w:rPr>
                <w:rFonts w:ascii="Arial" w:hAnsi="Arial" w:cs="Arial"/>
                <w:szCs w:val="24"/>
              </w:rPr>
              <w:t>5</w:t>
            </w:r>
            <w:r>
              <w:rPr>
                <w:rFonts w:ascii="Arial" w:hAnsi="Arial" w:cs="Arial"/>
                <w:szCs w:val="24"/>
              </w:rPr>
              <w:t>mg dose</w:t>
            </w:r>
            <w:r w:rsidR="00E44E5C">
              <w:rPr>
                <w:rFonts w:ascii="Arial" w:hAnsi="Arial" w:cs="Arial"/>
                <w:szCs w:val="24"/>
              </w:rPr>
              <w:t xml:space="preserve"> if required</w:t>
            </w:r>
            <w:r>
              <w:rPr>
                <w:rFonts w:ascii="Arial" w:hAnsi="Arial" w:cs="Arial"/>
                <w:szCs w:val="24"/>
              </w:rPr>
              <w:t xml:space="preserve">.  </w:t>
            </w:r>
          </w:p>
          <w:p w:rsidR="00025FAD" w:rsidRPr="00025FAD" w:rsidRDefault="00025FAD" w:rsidP="00025FAD">
            <w:pPr>
              <w:rPr>
                <w:rFonts w:ascii="Arial" w:hAnsi="Arial" w:cs="Arial"/>
                <w:szCs w:val="24"/>
              </w:rPr>
            </w:pPr>
            <w:r w:rsidRPr="00025FAD">
              <w:rPr>
                <w:rFonts w:ascii="Arial" w:hAnsi="Arial" w:cs="Arial"/>
                <w:szCs w:val="24"/>
              </w:rPr>
              <w:t>The prescription should clearly state the dose and frequency of administration</w:t>
            </w:r>
          </w:p>
          <w:p w:rsidR="00025FAD" w:rsidRPr="00025FAD" w:rsidRDefault="00025FAD" w:rsidP="00025FAD">
            <w:pPr>
              <w:rPr>
                <w:rFonts w:ascii="Arial" w:hAnsi="Arial" w:cs="Arial"/>
                <w:szCs w:val="24"/>
              </w:rPr>
            </w:pPr>
            <w:r w:rsidRPr="00025FAD">
              <w:rPr>
                <w:rFonts w:ascii="Arial" w:hAnsi="Arial" w:cs="Arial"/>
                <w:szCs w:val="24"/>
              </w:rPr>
              <w:t>Folic acid 5mg AS A SINGLE DOSE should be also given 4 days after methotrexate</w:t>
            </w:r>
            <w:r w:rsidR="00E44E5C">
              <w:rPr>
                <w:rFonts w:ascii="Arial" w:hAnsi="Arial" w:cs="Arial"/>
                <w:szCs w:val="24"/>
              </w:rPr>
              <w:t xml:space="preserve"> (more frequent dosing may be determined by rheumatologist)</w:t>
            </w:r>
            <w:r w:rsidRPr="00025FAD">
              <w:rPr>
                <w:rFonts w:ascii="Arial" w:hAnsi="Arial" w:cs="Arial"/>
                <w:szCs w:val="24"/>
              </w:rPr>
              <w:t>.</w:t>
            </w:r>
            <w:r w:rsidR="00E44E5C">
              <w:rPr>
                <w:rFonts w:ascii="Arial" w:hAnsi="Arial" w:cs="Arial"/>
                <w:szCs w:val="24"/>
              </w:rPr>
              <w:t xml:space="preserve"> </w:t>
            </w:r>
          </w:p>
        </w:tc>
      </w:tr>
      <w:tr w:rsidR="00391976"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391976" w:rsidRPr="00652079" w:rsidRDefault="00391976" w:rsidP="00391976">
            <w:pPr>
              <w:pStyle w:val="BodyText"/>
              <w:spacing w:after="0"/>
              <w:rPr>
                <w:rFonts w:ascii="Arial" w:hAnsi="Arial" w:cs="Arial"/>
                <w:szCs w:val="24"/>
              </w:rPr>
            </w:pPr>
            <w:r w:rsidRPr="00652079">
              <w:rPr>
                <w:rFonts w:ascii="Arial" w:hAnsi="Arial" w:cs="Arial"/>
                <w:szCs w:val="24"/>
              </w:rPr>
              <w:t>Eligibility criteria for shared care</w:t>
            </w:r>
          </w:p>
        </w:tc>
        <w:tc>
          <w:tcPr>
            <w:tcW w:w="3936" w:type="pct"/>
            <w:tcBorders>
              <w:top w:val="single" w:sz="6" w:space="0" w:color="auto"/>
              <w:left w:val="single" w:sz="6" w:space="0" w:color="auto"/>
              <w:bottom w:val="single" w:sz="6" w:space="0" w:color="auto"/>
              <w:right w:val="single" w:sz="6" w:space="0" w:color="auto"/>
            </w:tcBorders>
            <w:vAlign w:val="center"/>
          </w:tcPr>
          <w:p w:rsidR="00025FAD" w:rsidRPr="00410A7D" w:rsidRDefault="00025FAD" w:rsidP="00025FAD">
            <w:pPr>
              <w:pStyle w:val="Footer"/>
              <w:rPr>
                <w:rFonts w:ascii="Arial" w:hAnsi="Arial" w:cs="Arial"/>
                <w:bCs/>
                <w:szCs w:val="24"/>
              </w:rPr>
            </w:pPr>
            <w:r w:rsidRPr="00410A7D">
              <w:rPr>
                <w:rFonts w:ascii="Arial" w:hAnsi="Arial" w:cs="Arial"/>
                <w:bCs/>
                <w:szCs w:val="24"/>
              </w:rPr>
              <w:t xml:space="preserve">Patients must be under the care of a consultant </w:t>
            </w:r>
            <w:r>
              <w:rPr>
                <w:rFonts w:ascii="Arial" w:hAnsi="Arial" w:cs="Arial"/>
                <w:bCs/>
                <w:szCs w:val="24"/>
              </w:rPr>
              <w:t>rheumat</w:t>
            </w:r>
            <w:r w:rsidRPr="00410A7D">
              <w:rPr>
                <w:rFonts w:ascii="Arial" w:hAnsi="Arial" w:cs="Arial"/>
                <w:bCs/>
                <w:szCs w:val="24"/>
              </w:rPr>
              <w:t>ologist</w:t>
            </w:r>
          </w:p>
          <w:p w:rsidR="00025FAD" w:rsidRPr="00410A7D" w:rsidRDefault="00025FAD" w:rsidP="00025FAD">
            <w:pPr>
              <w:pStyle w:val="Footer"/>
              <w:rPr>
                <w:rFonts w:ascii="Arial" w:hAnsi="Arial" w:cs="Arial"/>
                <w:bCs/>
                <w:szCs w:val="24"/>
              </w:rPr>
            </w:pPr>
            <w:r w:rsidRPr="00410A7D">
              <w:rPr>
                <w:rFonts w:ascii="Arial" w:hAnsi="Arial" w:cs="Arial"/>
                <w:bCs/>
                <w:szCs w:val="24"/>
              </w:rPr>
              <w:t>Must have a diagnosis</w:t>
            </w:r>
            <w:r w:rsidR="00E44E5C">
              <w:rPr>
                <w:rFonts w:ascii="Arial" w:hAnsi="Arial" w:cs="Arial"/>
                <w:bCs/>
                <w:szCs w:val="24"/>
              </w:rPr>
              <w:t xml:space="preserve"> of </w:t>
            </w:r>
            <w:r w:rsidR="00E44E5C">
              <w:rPr>
                <w:rFonts w:ascii="Arial" w:hAnsi="Arial" w:cs="Arial"/>
                <w:szCs w:val="24"/>
              </w:rPr>
              <w:t>inflammatory arthritis</w:t>
            </w:r>
          </w:p>
          <w:p w:rsidR="00391976" w:rsidRDefault="00025FAD" w:rsidP="00025FAD">
            <w:pPr>
              <w:pStyle w:val="Footer"/>
              <w:rPr>
                <w:rFonts w:ascii="Arial" w:hAnsi="Arial" w:cs="Arial"/>
                <w:bCs/>
                <w:szCs w:val="24"/>
              </w:rPr>
            </w:pPr>
            <w:r w:rsidRPr="00410A7D">
              <w:rPr>
                <w:rFonts w:ascii="Arial" w:hAnsi="Arial" w:cs="Arial"/>
                <w:bCs/>
                <w:szCs w:val="24"/>
              </w:rPr>
              <w:t xml:space="preserve">Patients who </w:t>
            </w:r>
            <w:r>
              <w:rPr>
                <w:rFonts w:ascii="Arial" w:hAnsi="Arial" w:cs="Arial"/>
                <w:bCs/>
                <w:szCs w:val="24"/>
              </w:rPr>
              <w:t>have been stabilised</w:t>
            </w:r>
            <w:r w:rsidRPr="00410A7D">
              <w:rPr>
                <w:rFonts w:ascii="Arial" w:hAnsi="Arial" w:cs="Arial"/>
                <w:bCs/>
                <w:szCs w:val="24"/>
              </w:rPr>
              <w:t xml:space="preserve"> </w:t>
            </w:r>
            <w:r>
              <w:rPr>
                <w:rFonts w:ascii="Arial" w:hAnsi="Arial" w:cs="Arial"/>
                <w:bCs/>
                <w:szCs w:val="24"/>
              </w:rPr>
              <w:t xml:space="preserve">and </w:t>
            </w:r>
            <w:r w:rsidR="00FB69B6">
              <w:rPr>
                <w:rFonts w:ascii="Arial" w:hAnsi="Arial" w:cs="Arial"/>
                <w:bCs/>
                <w:szCs w:val="24"/>
              </w:rPr>
              <w:t xml:space="preserve">have been treated by specialist </w:t>
            </w:r>
            <w:r w:rsidRPr="00410A7D">
              <w:rPr>
                <w:rFonts w:ascii="Arial" w:hAnsi="Arial" w:cs="Arial"/>
                <w:bCs/>
                <w:szCs w:val="24"/>
              </w:rPr>
              <w:t>for</w:t>
            </w:r>
            <w:r>
              <w:rPr>
                <w:rFonts w:ascii="Arial" w:hAnsi="Arial" w:cs="Arial"/>
                <w:bCs/>
                <w:szCs w:val="24"/>
              </w:rPr>
              <w:t xml:space="preserve"> at least</w:t>
            </w:r>
            <w:r w:rsidRPr="00410A7D">
              <w:rPr>
                <w:rFonts w:ascii="Arial" w:hAnsi="Arial" w:cs="Arial"/>
                <w:bCs/>
                <w:szCs w:val="24"/>
              </w:rPr>
              <w:t xml:space="preserve"> three months</w:t>
            </w:r>
            <w:r w:rsidR="00FB69B6">
              <w:rPr>
                <w:rFonts w:ascii="Arial" w:hAnsi="Arial" w:cs="Arial"/>
                <w:bCs/>
                <w:szCs w:val="24"/>
              </w:rPr>
              <w:t>.</w:t>
            </w:r>
          </w:p>
          <w:p w:rsidR="00FB69B6" w:rsidRPr="00FC127A" w:rsidRDefault="00FB69B6" w:rsidP="00025FAD">
            <w:pPr>
              <w:pStyle w:val="Footer"/>
              <w:rPr>
                <w:rFonts w:ascii="Arial" w:hAnsi="Arial" w:cs="Arial"/>
                <w:bCs/>
                <w:i/>
                <w:sz w:val="16"/>
                <w:szCs w:val="16"/>
              </w:rPr>
            </w:pPr>
            <w:r>
              <w:rPr>
                <w:rFonts w:ascii="Arial" w:hAnsi="Arial" w:cs="Arial"/>
                <w:bCs/>
                <w:szCs w:val="24"/>
              </w:rPr>
              <w:t>Patients who are not stable should not be transferred to primary care for monitoring.</w:t>
            </w:r>
          </w:p>
        </w:tc>
      </w:tr>
      <w:tr w:rsidR="007108FD"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Excluded patients</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FB69B6">
            <w:pPr>
              <w:pStyle w:val="Footer"/>
              <w:tabs>
                <w:tab w:val="clear" w:pos="4153"/>
                <w:tab w:val="clear" w:pos="8306"/>
              </w:tabs>
              <w:rPr>
                <w:rFonts w:ascii="Arial" w:hAnsi="Arial" w:cs="Arial"/>
                <w:szCs w:val="24"/>
              </w:rPr>
            </w:pPr>
            <w:r w:rsidRPr="00410A7D">
              <w:rPr>
                <w:rFonts w:ascii="Arial" w:hAnsi="Arial" w:cs="Arial"/>
                <w:szCs w:val="24"/>
              </w:rPr>
              <w:t>Any patient in whom methotrexate is contraindicated or not tolerated.</w:t>
            </w:r>
          </w:p>
          <w:p w:rsidR="001F2E56" w:rsidRPr="00FC127A" w:rsidRDefault="00FB69B6" w:rsidP="00FB69B6">
            <w:pPr>
              <w:pStyle w:val="Footer"/>
              <w:tabs>
                <w:tab w:val="clear" w:pos="4153"/>
                <w:tab w:val="clear" w:pos="8306"/>
              </w:tabs>
              <w:rPr>
                <w:rFonts w:ascii="Arial" w:hAnsi="Arial" w:cs="Arial"/>
                <w:i/>
                <w:sz w:val="16"/>
                <w:szCs w:val="16"/>
              </w:rPr>
            </w:pPr>
            <w:r w:rsidRPr="00410A7D">
              <w:rPr>
                <w:rFonts w:ascii="Arial" w:hAnsi="Arial" w:cs="Arial"/>
                <w:szCs w:val="24"/>
              </w:rPr>
              <w:t>Not for patients under the age of 16 years</w:t>
            </w:r>
          </w:p>
        </w:tc>
      </w:tr>
      <w:tr w:rsidR="007108FD"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Initiation</w:t>
            </w:r>
          </w:p>
        </w:tc>
        <w:tc>
          <w:tcPr>
            <w:tcW w:w="3936" w:type="pct"/>
            <w:tcBorders>
              <w:top w:val="single" w:sz="6" w:space="0" w:color="auto"/>
              <w:left w:val="single" w:sz="6" w:space="0" w:color="auto"/>
              <w:bottom w:val="single" w:sz="6" w:space="0" w:color="auto"/>
              <w:right w:val="single" w:sz="6" w:space="0" w:color="auto"/>
            </w:tcBorders>
            <w:vAlign w:val="center"/>
          </w:tcPr>
          <w:p w:rsidR="00C732D8" w:rsidRPr="002128E4" w:rsidRDefault="00FB69B6" w:rsidP="00BB540D">
            <w:pPr>
              <w:rPr>
                <w:rFonts w:ascii="Arial" w:hAnsi="Arial" w:cs="Arial"/>
                <w:i/>
                <w:sz w:val="16"/>
                <w:szCs w:val="16"/>
              </w:rPr>
            </w:pPr>
            <w:r w:rsidRPr="00410A7D">
              <w:rPr>
                <w:rFonts w:ascii="Arial" w:hAnsi="Arial" w:cs="Arial"/>
                <w:szCs w:val="24"/>
              </w:rPr>
              <w:t xml:space="preserve">Shared care to be initiated once patient has been stable on maintenance </w:t>
            </w:r>
            <w:r w:rsidRPr="00410A7D">
              <w:rPr>
                <w:rFonts w:ascii="Arial" w:hAnsi="Arial" w:cs="Arial"/>
                <w:szCs w:val="24"/>
              </w:rPr>
              <w:lastRenderedPageBreak/>
              <w:t>dose for three months</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FB69B6" w:rsidRPr="00410A7D" w:rsidRDefault="00FB69B6" w:rsidP="007472D6">
            <w:pPr>
              <w:rPr>
                <w:rFonts w:ascii="Arial" w:hAnsi="Arial" w:cs="Arial"/>
                <w:szCs w:val="24"/>
              </w:rPr>
            </w:pPr>
            <w:r w:rsidRPr="00410A7D">
              <w:rPr>
                <w:rFonts w:ascii="Arial" w:hAnsi="Arial" w:cs="Arial"/>
                <w:szCs w:val="24"/>
              </w:rPr>
              <w:lastRenderedPageBreak/>
              <w:t>Monitoring</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keepNext/>
              <w:outlineLvl w:val="1"/>
              <w:rPr>
                <w:rFonts w:ascii="Arial" w:hAnsi="Arial" w:cs="Arial"/>
                <w:b/>
              </w:rPr>
            </w:pPr>
            <w:r w:rsidRPr="00410A7D">
              <w:rPr>
                <w:rFonts w:ascii="Arial" w:hAnsi="Arial" w:cs="Arial"/>
                <w:b/>
              </w:rPr>
              <w:t>Baseline assessment</w:t>
            </w:r>
            <w:r>
              <w:rPr>
                <w:rFonts w:ascii="Arial" w:hAnsi="Arial" w:cs="Arial"/>
                <w:b/>
              </w:rPr>
              <w:t xml:space="preserve"> </w:t>
            </w:r>
            <w:r w:rsidR="00A83A4D">
              <w:rPr>
                <w:rFonts w:ascii="Arial" w:hAnsi="Arial" w:cs="Arial"/>
                <w:b/>
              </w:rPr>
              <w:t xml:space="preserve">will be completed </w:t>
            </w:r>
            <w:r>
              <w:rPr>
                <w:rFonts w:ascii="Arial" w:hAnsi="Arial" w:cs="Arial"/>
                <w:b/>
              </w:rPr>
              <w:t>by specialist</w:t>
            </w:r>
            <w:r w:rsidR="00A83A4D">
              <w:rPr>
                <w:rFonts w:ascii="Arial" w:hAnsi="Arial" w:cs="Arial"/>
                <w:b/>
              </w:rPr>
              <w:t xml:space="preserve"> prior to initiation</w:t>
            </w:r>
          </w:p>
          <w:p w:rsidR="00A83A4D" w:rsidRPr="00410A7D" w:rsidRDefault="00A83A4D" w:rsidP="007472D6">
            <w:pPr>
              <w:rPr>
                <w:rFonts w:ascii="Arial" w:hAnsi="Arial" w:cs="Arial"/>
              </w:rPr>
            </w:pPr>
          </w:p>
          <w:p w:rsidR="00FB69B6" w:rsidRPr="00410A7D" w:rsidRDefault="00FB69B6" w:rsidP="007472D6">
            <w:pPr>
              <w:spacing w:after="360"/>
              <w:contextualSpacing/>
              <w:rPr>
                <w:rFonts w:ascii="Arial" w:hAnsi="Arial" w:cs="Arial"/>
                <w:b/>
              </w:rPr>
            </w:pPr>
            <w:r w:rsidRPr="00410A7D">
              <w:rPr>
                <w:rFonts w:ascii="Arial" w:hAnsi="Arial" w:cs="Arial"/>
                <w:b/>
              </w:rPr>
              <w:t>Monitoring</w:t>
            </w:r>
          </w:p>
          <w:p w:rsidR="00FB69B6" w:rsidRPr="00410A7D" w:rsidRDefault="00FB69B6" w:rsidP="007472D6">
            <w:pPr>
              <w:spacing w:after="360"/>
              <w:contextualSpacing/>
              <w:rPr>
                <w:rFonts w:ascii="Arial" w:hAnsi="Arial" w:cs="Arial"/>
              </w:rPr>
            </w:pPr>
            <w:r w:rsidRPr="00410A7D">
              <w:rPr>
                <w:rFonts w:ascii="Arial" w:hAnsi="Arial" w:cs="Arial"/>
              </w:rPr>
              <w:t xml:space="preserve">Ongoing blood test monitoring of high risk or low risk patients according to monitoring schedules below and review of laboratory abnormalities prior to transfer. </w:t>
            </w:r>
          </w:p>
          <w:p w:rsidR="00FB69B6" w:rsidRPr="00410A7D" w:rsidRDefault="00FB69B6" w:rsidP="007472D6">
            <w:pPr>
              <w:rPr>
                <w:rFonts w:ascii="Arial" w:hAnsi="Arial" w:cs="Arial"/>
                <w:b/>
                <w:szCs w:val="24"/>
              </w:rPr>
            </w:pPr>
          </w:p>
          <w:p w:rsidR="00FB69B6" w:rsidRPr="00927E9C" w:rsidRDefault="00FB69B6" w:rsidP="007472D6">
            <w:pPr>
              <w:keepNext/>
              <w:outlineLvl w:val="0"/>
              <w:rPr>
                <w:rFonts w:ascii="Arial" w:hAnsi="Arial" w:cs="Arial"/>
                <w:b/>
                <w:szCs w:val="24"/>
                <w:u w:val="single"/>
              </w:rPr>
            </w:pPr>
            <w:r w:rsidRPr="00927E9C">
              <w:rPr>
                <w:rFonts w:ascii="Arial" w:hAnsi="Arial" w:cs="Arial"/>
                <w:szCs w:val="24"/>
                <w:u w:val="single"/>
              </w:rPr>
              <w:t xml:space="preserve">Monitoring of high risk patients </w:t>
            </w:r>
          </w:p>
          <w:p w:rsidR="00FB69B6" w:rsidRPr="006849F7" w:rsidRDefault="00FB69B6" w:rsidP="007472D6">
            <w:pPr>
              <w:contextualSpacing/>
              <w:rPr>
                <w:rFonts w:ascii="Berlin Sans FB" w:hAnsi="Berlin Sans FB" w:cs="Arial"/>
                <w:color w:val="000000" w:themeColor="text1"/>
                <w:szCs w:val="24"/>
              </w:rPr>
            </w:pPr>
            <w:r w:rsidRPr="004C53B7">
              <w:rPr>
                <w:rFonts w:ascii="Arial" w:hAnsi="Arial" w:cs="Arial"/>
                <w:szCs w:val="24"/>
              </w:rPr>
              <w:t xml:space="preserve">The patient </w:t>
            </w:r>
            <w:r>
              <w:rPr>
                <w:rFonts w:ascii="Arial" w:hAnsi="Arial" w:cs="Arial"/>
                <w:szCs w:val="24"/>
              </w:rPr>
              <w:t>is ‘high</w:t>
            </w:r>
            <w:r w:rsidRPr="004C53B7">
              <w:rPr>
                <w:rFonts w:ascii="Arial" w:hAnsi="Arial" w:cs="Arial"/>
                <w:szCs w:val="24"/>
              </w:rPr>
              <w:t xml:space="preserve"> risk</w:t>
            </w:r>
            <w:r>
              <w:rPr>
                <w:rFonts w:ascii="Arial" w:hAnsi="Arial" w:cs="Arial"/>
                <w:szCs w:val="24"/>
              </w:rPr>
              <w:t>’</w:t>
            </w:r>
            <w:r w:rsidRPr="004C53B7">
              <w:rPr>
                <w:rFonts w:ascii="Arial" w:hAnsi="Arial" w:cs="Arial"/>
                <w:szCs w:val="24"/>
              </w:rPr>
              <w:t xml:space="preserve"> if </w:t>
            </w:r>
            <w:r w:rsidRPr="006B2BB6">
              <w:rPr>
                <w:rFonts w:ascii="Arial" w:hAnsi="Arial" w:cs="Arial"/>
                <w:color w:val="000000" w:themeColor="text1"/>
                <w:szCs w:val="24"/>
              </w:rPr>
              <w:t xml:space="preserve">any of the following apply: </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Extremes of weight: BMI &lt;18 or &gt;30kg/m2</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Renal impairment: CKD stage III or above</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Pre-existing liver disease (including NAFLD)</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Significant other co-morbidity (e.g. malignancy)</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Age &gt;80 years</w:t>
            </w:r>
          </w:p>
          <w:p w:rsidR="00FB69B6" w:rsidRDefault="00FB69B6" w:rsidP="00FB69B6">
            <w:pPr>
              <w:numPr>
                <w:ilvl w:val="0"/>
                <w:numId w:val="38"/>
              </w:numPr>
              <w:contextualSpacing/>
              <w:rPr>
                <w:rFonts w:ascii="Arial" w:hAnsi="Arial" w:cs="Arial"/>
                <w:szCs w:val="24"/>
              </w:rPr>
            </w:pPr>
            <w:r w:rsidRPr="00410A7D">
              <w:rPr>
                <w:rFonts w:ascii="Arial" w:hAnsi="Arial" w:cs="Arial"/>
                <w:szCs w:val="24"/>
              </w:rPr>
              <w:t>Previous DMARD toxicity.</w:t>
            </w:r>
          </w:p>
          <w:p w:rsidR="00FB69B6" w:rsidRPr="006849F7" w:rsidRDefault="00FB69B6" w:rsidP="007472D6">
            <w:pPr>
              <w:contextualSpacing/>
              <w:rPr>
                <w:rFonts w:ascii="Berlin Sans FB" w:hAnsi="Berlin Sans FB" w:cs="Arial"/>
                <w:color w:val="000000" w:themeColor="text1"/>
                <w:szCs w:val="24"/>
              </w:rPr>
            </w:pPr>
            <w:r w:rsidRPr="00927E9C">
              <w:rPr>
                <w:rFonts w:ascii="Arial" w:hAnsi="Arial" w:cs="Arial"/>
                <w:b/>
                <w:szCs w:val="24"/>
              </w:rPr>
              <w:t>Routine Bloods:</w:t>
            </w:r>
            <w:r w:rsidRPr="00410A7D">
              <w:rPr>
                <w:rFonts w:ascii="Arial" w:hAnsi="Arial" w:cs="Arial"/>
                <w:szCs w:val="24"/>
              </w:rPr>
              <w:t xml:space="preserve"> </w:t>
            </w:r>
            <w:r w:rsidR="006B61DD" w:rsidRPr="00FA3EA0">
              <w:rPr>
                <w:rFonts w:ascii="Arial" w:hAnsi="Arial" w:cs="Arial"/>
                <w:szCs w:val="24"/>
              </w:rPr>
              <w:t>FBC, U&amp;E, ALT</w:t>
            </w:r>
            <w:r w:rsidR="00B32EB7">
              <w:rPr>
                <w:rFonts w:ascii="Arial" w:hAnsi="Arial" w:cs="Arial"/>
                <w:szCs w:val="24"/>
              </w:rPr>
              <w:t xml:space="preserve"> and/or AST</w:t>
            </w:r>
            <w:r w:rsidR="006B61DD" w:rsidRPr="00FA3EA0">
              <w:rPr>
                <w:rFonts w:ascii="Arial" w:hAnsi="Arial" w:cs="Arial"/>
                <w:szCs w:val="24"/>
              </w:rPr>
              <w:t xml:space="preserve">, Albumin, </w:t>
            </w:r>
            <w:r w:rsidR="006B61DD">
              <w:rPr>
                <w:rFonts w:ascii="Arial" w:hAnsi="Arial" w:cs="Arial"/>
                <w:szCs w:val="24"/>
              </w:rPr>
              <w:t>creatinine/</w:t>
            </w:r>
            <w:proofErr w:type="spellStart"/>
            <w:r w:rsidR="006B61DD" w:rsidRPr="00FA3EA0">
              <w:rPr>
                <w:rFonts w:ascii="Arial" w:hAnsi="Arial" w:cs="Arial"/>
                <w:szCs w:val="24"/>
              </w:rPr>
              <w:t>eGFR</w:t>
            </w:r>
            <w:proofErr w:type="spellEnd"/>
            <w:r w:rsidR="006B61DD">
              <w:rPr>
                <w:rFonts w:ascii="Arial" w:hAnsi="Arial" w:cs="Arial"/>
                <w:szCs w:val="24"/>
              </w:rPr>
              <w:t xml:space="preserve"> </w:t>
            </w:r>
          </w:p>
          <w:p w:rsidR="00FB69B6" w:rsidRPr="007F5FFD" w:rsidRDefault="00FB69B6" w:rsidP="007472D6">
            <w:pPr>
              <w:contextualSpacing/>
              <w:rPr>
                <w:rFonts w:ascii="Arial" w:hAnsi="Arial" w:cs="Arial"/>
                <w:szCs w:val="24"/>
              </w:rPr>
            </w:pPr>
            <w:r w:rsidRPr="00927E9C">
              <w:rPr>
                <w:rFonts w:ascii="Arial" w:hAnsi="Arial" w:cs="Arial"/>
                <w:b/>
                <w:szCs w:val="24"/>
              </w:rPr>
              <w:t>Frequency</w:t>
            </w:r>
            <w:r w:rsidRPr="007F5FFD">
              <w:rPr>
                <w:rFonts w:ascii="Arial" w:hAnsi="Arial" w:cs="Arial"/>
                <w:b/>
                <w:szCs w:val="24"/>
              </w:rPr>
              <w:t>:</w:t>
            </w:r>
            <w:r w:rsidRPr="007F5FFD">
              <w:rPr>
                <w:rFonts w:ascii="Arial" w:hAnsi="Arial" w:cs="Arial"/>
                <w:szCs w:val="24"/>
              </w:rPr>
              <w:t xml:space="preserve"> Every </w:t>
            </w:r>
            <w:r w:rsidR="006B61DD">
              <w:rPr>
                <w:rFonts w:ascii="Arial" w:hAnsi="Arial" w:cs="Arial"/>
                <w:szCs w:val="24"/>
              </w:rPr>
              <w:t xml:space="preserve">two </w:t>
            </w:r>
            <w:r w:rsidRPr="007F5FFD">
              <w:rPr>
                <w:rFonts w:ascii="Arial" w:hAnsi="Arial" w:cs="Arial"/>
                <w:szCs w:val="24"/>
              </w:rPr>
              <w:t>week</w:t>
            </w:r>
            <w:r w:rsidR="006B61DD">
              <w:rPr>
                <w:rFonts w:ascii="Arial" w:hAnsi="Arial" w:cs="Arial"/>
                <w:szCs w:val="24"/>
              </w:rPr>
              <w:t>s</w:t>
            </w:r>
            <w:r w:rsidRPr="007F5FFD">
              <w:rPr>
                <w:rFonts w:ascii="Arial" w:hAnsi="Arial" w:cs="Arial"/>
                <w:szCs w:val="24"/>
              </w:rPr>
              <w:t xml:space="preserve"> until stable on a dose for 6 weeks.</w:t>
            </w:r>
          </w:p>
          <w:p w:rsidR="00FB69B6" w:rsidRPr="007F5FFD" w:rsidRDefault="00FB69B6" w:rsidP="00FB69B6">
            <w:pPr>
              <w:pStyle w:val="ListParagraph"/>
              <w:numPr>
                <w:ilvl w:val="0"/>
                <w:numId w:val="39"/>
              </w:numPr>
              <w:contextualSpacing/>
              <w:rPr>
                <w:rFonts w:ascii="Arial" w:hAnsi="Arial" w:cs="Arial"/>
                <w:szCs w:val="24"/>
              </w:rPr>
            </w:pPr>
            <w:r w:rsidRPr="007F5FFD">
              <w:rPr>
                <w:rFonts w:ascii="Arial" w:hAnsi="Arial" w:cs="Arial"/>
                <w:szCs w:val="24"/>
              </w:rPr>
              <w:t xml:space="preserve">Once on a stable dose: monthly blood tests. </w:t>
            </w:r>
          </w:p>
          <w:p w:rsidR="00FB69B6" w:rsidRPr="007F5FFD" w:rsidRDefault="00FB69B6" w:rsidP="00FB69B6">
            <w:pPr>
              <w:pStyle w:val="ListParagraph"/>
              <w:numPr>
                <w:ilvl w:val="0"/>
                <w:numId w:val="39"/>
              </w:numPr>
              <w:contextualSpacing/>
              <w:rPr>
                <w:rFonts w:ascii="Arial" w:hAnsi="Arial" w:cs="Arial"/>
                <w:szCs w:val="24"/>
              </w:rPr>
            </w:pPr>
            <w:r w:rsidRPr="007F5FFD">
              <w:rPr>
                <w:rFonts w:ascii="Arial" w:hAnsi="Arial" w:cs="Arial"/>
                <w:szCs w:val="24"/>
              </w:rPr>
              <w:t xml:space="preserve">Following a dose increase bloods should be checked </w:t>
            </w:r>
            <w:r w:rsidR="00A83A4D">
              <w:rPr>
                <w:rFonts w:ascii="Arial" w:hAnsi="Arial" w:cs="Arial"/>
                <w:szCs w:val="24"/>
              </w:rPr>
              <w:t xml:space="preserve">every two </w:t>
            </w:r>
            <w:r w:rsidRPr="007F5FFD">
              <w:rPr>
                <w:rFonts w:ascii="Arial" w:hAnsi="Arial" w:cs="Arial"/>
                <w:szCs w:val="24"/>
              </w:rPr>
              <w:t>week</w:t>
            </w:r>
            <w:r w:rsidR="00A83A4D">
              <w:rPr>
                <w:rFonts w:ascii="Arial" w:hAnsi="Arial" w:cs="Arial"/>
                <w:szCs w:val="24"/>
              </w:rPr>
              <w:t>s</w:t>
            </w:r>
            <w:r w:rsidR="00B0218A">
              <w:rPr>
                <w:rFonts w:ascii="Arial" w:hAnsi="Arial" w:cs="Arial"/>
                <w:szCs w:val="24"/>
              </w:rPr>
              <w:t xml:space="preserve"> </w:t>
            </w:r>
            <w:r w:rsidRPr="007F5FFD">
              <w:rPr>
                <w:rFonts w:ascii="Arial" w:hAnsi="Arial" w:cs="Arial"/>
                <w:szCs w:val="24"/>
              </w:rPr>
              <w:t>for 6 weeks, then revert back to previous schedule</w:t>
            </w:r>
          </w:p>
          <w:p w:rsidR="00FB69B6" w:rsidRPr="00410A7D" w:rsidRDefault="00FB69B6" w:rsidP="007472D6">
            <w:pPr>
              <w:rPr>
                <w:rFonts w:ascii="Arial" w:hAnsi="Arial" w:cs="Arial"/>
                <w:szCs w:val="24"/>
              </w:rPr>
            </w:pPr>
          </w:p>
          <w:p w:rsidR="00FB69B6" w:rsidRPr="00927E9C" w:rsidRDefault="00FB69B6" w:rsidP="007472D6">
            <w:pPr>
              <w:rPr>
                <w:rFonts w:ascii="Arial" w:hAnsi="Arial" w:cs="Arial"/>
                <w:szCs w:val="24"/>
                <w:u w:val="single"/>
              </w:rPr>
            </w:pPr>
            <w:r w:rsidRPr="00927E9C">
              <w:rPr>
                <w:rFonts w:ascii="Arial" w:hAnsi="Arial" w:cs="Arial"/>
                <w:szCs w:val="24"/>
                <w:u w:val="single"/>
              </w:rPr>
              <w:t>For patients who are NOT high risk:</w:t>
            </w:r>
          </w:p>
          <w:p w:rsidR="00FB69B6" w:rsidRPr="00410A7D" w:rsidRDefault="00FB69B6" w:rsidP="007472D6">
            <w:pPr>
              <w:contextualSpacing/>
              <w:rPr>
                <w:rFonts w:ascii="Arial" w:hAnsi="Arial" w:cs="Arial"/>
                <w:szCs w:val="24"/>
              </w:rPr>
            </w:pPr>
            <w:r w:rsidRPr="00927E9C">
              <w:rPr>
                <w:rFonts w:ascii="Arial" w:hAnsi="Arial" w:cs="Arial"/>
                <w:b/>
                <w:szCs w:val="24"/>
              </w:rPr>
              <w:t>Routine Bloods:</w:t>
            </w:r>
            <w:r w:rsidRPr="00410A7D">
              <w:rPr>
                <w:rFonts w:ascii="Arial" w:hAnsi="Arial" w:cs="Arial"/>
                <w:szCs w:val="24"/>
              </w:rPr>
              <w:t xml:space="preserve"> </w:t>
            </w:r>
            <w:r w:rsidR="006B61DD" w:rsidRPr="00FA3EA0">
              <w:rPr>
                <w:rFonts w:ascii="Arial" w:hAnsi="Arial" w:cs="Arial"/>
                <w:szCs w:val="24"/>
              </w:rPr>
              <w:t xml:space="preserve"> FBC, U&amp;E, ALT</w:t>
            </w:r>
            <w:r w:rsidR="00B32EB7">
              <w:rPr>
                <w:rFonts w:ascii="Arial" w:hAnsi="Arial" w:cs="Arial"/>
                <w:szCs w:val="24"/>
              </w:rPr>
              <w:t xml:space="preserve"> and/or AST</w:t>
            </w:r>
            <w:r w:rsidR="006B61DD" w:rsidRPr="00FA3EA0">
              <w:rPr>
                <w:rFonts w:ascii="Arial" w:hAnsi="Arial" w:cs="Arial"/>
                <w:szCs w:val="24"/>
              </w:rPr>
              <w:t xml:space="preserve">, Albumin, </w:t>
            </w:r>
            <w:r w:rsidR="006B61DD">
              <w:rPr>
                <w:rFonts w:ascii="Arial" w:hAnsi="Arial" w:cs="Arial"/>
                <w:szCs w:val="24"/>
              </w:rPr>
              <w:t>creatinine/</w:t>
            </w:r>
            <w:proofErr w:type="spellStart"/>
            <w:r w:rsidR="006B61DD" w:rsidRPr="00FA3EA0">
              <w:rPr>
                <w:rFonts w:ascii="Arial" w:hAnsi="Arial" w:cs="Arial"/>
                <w:szCs w:val="24"/>
              </w:rPr>
              <w:t>eGFR</w:t>
            </w:r>
            <w:proofErr w:type="spellEnd"/>
          </w:p>
          <w:p w:rsidR="00FB69B6" w:rsidRPr="007F5FFD" w:rsidRDefault="00FB69B6" w:rsidP="007472D6">
            <w:pPr>
              <w:rPr>
                <w:rFonts w:ascii="Arial" w:hAnsi="Arial" w:cs="Arial"/>
                <w:szCs w:val="24"/>
              </w:rPr>
            </w:pPr>
            <w:r w:rsidRPr="00927E9C">
              <w:rPr>
                <w:rFonts w:ascii="Arial" w:hAnsi="Arial" w:cs="Arial"/>
                <w:b/>
                <w:szCs w:val="24"/>
              </w:rPr>
              <w:t>Frequency:</w:t>
            </w:r>
            <w:r w:rsidRPr="00927E9C">
              <w:rPr>
                <w:rFonts w:ascii="Arial" w:hAnsi="Arial" w:cs="Arial"/>
                <w:szCs w:val="24"/>
              </w:rPr>
              <w:t xml:space="preserve">  </w:t>
            </w:r>
            <w:r w:rsidRPr="007F5FFD">
              <w:rPr>
                <w:rFonts w:ascii="Arial" w:hAnsi="Arial" w:cs="Arial"/>
                <w:szCs w:val="24"/>
              </w:rPr>
              <w:t>Every 2 weeks until stable on a dose for 6 weeks</w:t>
            </w:r>
          </w:p>
          <w:p w:rsidR="00FB69B6" w:rsidRPr="007F5FFD" w:rsidRDefault="00FB69B6" w:rsidP="00FB69B6">
            <w:pPr>
              <w:pStyle w:val="ListParagraph"/>
              <w:numPr>
                <w:ilvl w:val="0"/>
                <w:numId w:val="40"/>
              </w:numPr>
              <w:contextualSpacing/>
              <w:rPr>
                <w:rFonts w:ascii="Arial" w:hAnsi="Arial" w:cs="Arial"/>
                <w:szCs w:val="24"/>
              </w:rPr>
            </w:pPr>
            <w:r w:rsidRPr="007F5FFD">
              <w:rPr>
                <w:rFonts w:ascii="Arial" w:hAnsi="Arial" w:cs="Arial"/>
                <w:szCs w:val="24"/>
              </w:rPr>
              <w:t>Once on a stable dose: monthly blood tests for 3 months</w:t>
            </w:r>
          </w:p>
          <w:p w:rsidR="00FB69B6" w:rsidRPr="007F5FFD" w:rsidRDefault="00FB69B6" w:rsidP="00FB69B6">
            <w:pPr>
              <w:pStyle w:val="ListParagraph"/>
              <w:numPr>
                <w:ilvl w:val="0"/>
                <w:numId w:val="40"/>
              </w:numPr>
              <w:contextualSpacing/>
              <w:rPr>
                <w:rFonts w:ascii="Arial" w:hAnsi="Arial" w:cs="Arial"/>
                <w:szCs w:val="24"/>
              </w:rPr>
            </w:pPr>
            <w:r w:rsidRPr="007F5FFD">
              <w:rPr>
                <w:rFonts w:ascii="Arial" w:hAnsi="Arial" w:cs="Arial"/>
                <w:szCs w:val="24"/>
              </w:rPr>
              <w:t>Then: at least every 12 weeks for the duration of treatment</w:t>
            </w:r>
          </w:p>
          <w:p w:rsidR="00FB69B6" w:rsidRPr="007F5FFD" w:rsidRDefault="00FB69B6" w:rsidP="00FB69B6">
            <w:pPr>
              <w:pStyle w:val="ListParagraph"/>
              <w:numPr>
                <w:ilvl w:val="0"/>
                <w:numId w:val="40"/>
              </w:numPr>
              <w:contextualSpacing/>
              <w:rPr>
                <w:rFonts w:ascii="Arial" w:hAnsi="Arial" w:cs="Arial"/>
                <w:szCs w:val="24"/>
              </w:rPr>
            </w:pPr>
            <w:r w:rsidRPr="007F5FFD">
              <w:rPr>
                <w:rFonts w:ascii="Arial" w:hAnsi="Arial" w:cs="Arial"/>
                <w:szCs w:val="24"/>
              </w:rPr>
              <w:t>Following a dose increase bloods should be checked 2 weekly for 6 weeks, then revert back to previous schedule</w:t>
            </w:r>
          </w:p>
          <w:p w:rsidR="00FB69B6" w:rsidRPr="00410A7D" w:rsidRDefault="00FB69B6" w:rsidP="007472D6">
            <w:pPr>
              <w:contextualSpacing/>
              <w:rPr>
                <w:rFonts w:ascii="Arial" w:hAnsi="Arial" w:cs="Arial"/>
                <w:szCs w:val="24"/>
              </w:rPr>
            </w:pPr>
          </w:p>
          <w:p w:rsidR="00FB69B6" w:rsidRPr="00410A7D" w:rsidRDefault="00FB69B6" w:rsidP="007472D6">
            <w:pPr>
              <w:keepNext/>
              <w:outlineLvl w:val="1"/>
              <w:rPr>
                <w:rFonts w:ascii="Arial" w:hAnsi="Arial" w:cs="Arial"/>
                <w:b/>
                <w:szCs w:val="24"/>
              </w:rPr>
            </w:pPr>
            <w:r w:rsidRPr="00410A7D">
              <w:rPr>
                <w:rFonts w:ascii="Arial" w:hAnsi="Arial" w:cs="Arial"/>
                <w:b/>
                <w:szCs w:val="24"/>
              </w:rPr>
              <w:t>Laboratory abnormalities requiring action</w:t>
            </w:r>
          </w:p>
          <w:p w:rsidR="00FB69B6" w:rsidRPr="00410A7D" w:rsidRDefault="00FB69B6" w:rsidP="007472D6">
            <w:pPr>
              <w:rPr>
                <w:rFonts w:ascii="Arial" w:hAnsi="Arial" w:cs="Arial"/>
                <w:szCs w:val="24"/>
                <w:lang w:eastAsia="en-GB"/>
              </w:rPr>
            </w:pPr>
            <w:r w:rsidRPr="00410A7D">
              <w:rPr>
                <w:rFonts w:ascii="Arial" w:hAnsi="Arial" w:cs="Arial"/>
                <w:szCs w:val="24"/>
                <w:lang w:eastAsia="en-GB"/>
              </w:rPr>
              <w:t>The abnormalities in table below should trigger action/</w:t>
            </w:r>
            <w:r w:rsidRPr="0005203B">
              <w:rPr>
                <w:rFonts w:ascii="Arial" w:hAnsi="Arial" w:cs="Arial"/>
                <w:color w:val="000000" w:themeColor="text1"/>
                <w:szCs w:val="24"/>
                <w:lang w:eastAsia="en-GB"/>
              </w:rPr>
              <w:t xml:space="preserve">review. </w:t>
            </w:r>
            <w:r w:rsidRPr="0005203B">
              <w:rPr>
                <w:rFonts w:ascii="Arial" w:hAnsi="Arial" w:cs="Arial"/>
                <w:b/>
                <w:color w:val="000000" w:themeColor="text1"/>
                <w:szCs w:val="24"/>
                <w:u w:val="single"/>
                <w:lang w:eastAsia="en-GB"/>
              </w:rPr>
              <w:t xml:space="preserve">If any abnormal blood test results are obtained, withhold the medication and discuss with the patient’s consultant </w:t>
            </w:r>
            <w:r w:rsidR="00884955">
              <w:rPr>
                <w:rFonts w:ascii="Arial" w:hAnsi="Arial" w:cs="Arial"/>
                <w:b/>
                <w:color w:val="000000" w:themeColor="text1"/>
                <w:szCs w:val="24"/>
                <w:u w:val="single"/>
                <w:lang w:eastAsia="en-GB"/>
              </w:rPr>
              <w:t>rheumatologist</w:t>
            </w:r>
            <w:r w:rsidRPr="0005203B">
              <w:rPr>
                <w:rFonts w:ascii="Arial" w:hAnsi="Arial" w:cs="Arial"/>
                <w:b/>
                <w:color w:val="000000" w:themeColor="text1"/>
                <w:szCs w:val="24"/>
                <w:u w:val="single"/>
                <w:lang w:eastAsia="en-GB"/>
              </w:rPr>
              <w:t>.</w:t>
            </w:r>
            <w:r w:rsidRPr="0005203B">
              <w:rPr>
                <w:rFonts w:ascii="Arial" w:hAnsi="Arial" w:cs="Arial"/>
                <w:color w:val="000000" w:themeColor="text1"/>
                <w:szCs w:val="24"/>
                <w:lang w:eastAsia="en-GB"/>
              </w:rPr>
              <w:t xml:space="preserve">  </w:t>
            </w:r>
            <w:r w:rsidRPr="00410A7D">
              <w:rPr>
                <w:rFonts w:ascii="Arial" w:hAnsi="Arial" w:cs="Arial"/>
                <w:szCs w:val="24"/>
                <w:lang w:eastAsia="en-GB"/>
              </w:rPr>
              <w:t>Do not forget to consider the possibility that the abnormal blood result may be unrelated to the immunosuppressant medication.</w:t>
            </w:r>
          </w:p>
          <w:p w:rsidR="00FB69B6" w:rsidRPr="00410A7D" w:rsidRDefault="00FB69B6" w:rsidP="007472D6">
            <w:pPr>
              <w:rPr>
                <w:rFonts w:ascii="Arial" w:hAnsi="Arial" w:cs="Arial"/>
                <w:szCs w:val="24"/>
                <w:lang w:eastAsia="en-GB"/>
              </w:rPr>
            </w:pPr>
          </w:p>
          <w:tbl>
            <w:tblPr>
              <w:tblStyle w:val="TableGrid"/>
              <w:tblW w:w="7682" w:type="dxa"/>
              <w:jc w:val="center"/>
              <w:tblLayout w:type="fixed"/>
              <w:tblLook w:val="04A0" w:firstRow="1" w:lastRow="0" w:firstColumn="1" w:lastColumn="0" w:noHBand="0" w:noVBand="1"/>
            </w:tblPr>
            <w:tblGrid>
              <w:gridCol w:w="3020"/>
              <w:gridCol w:w="4662"/>
            </w:tblGrid>
            <w:tr w:rsidR="00FB69B6" w:rsidRPr="00410A7D" w:rsidTr="007472D6">
              <w:trPr>
                <w:jc w:val="center"/>
              </w:trPr>
              <w:tc>
                <w:tcPr>
                  <w:tcW w:w="3020" w:type="dxa"/>
                </w:tcPr>
                <w:p w:rsidR="00FB69B6" w:rsidRPr="00410A7D" w:rsidRDefault="00FB69B6" w:rsidP="007472D6">
                  <w:pPr>
                    <w:rPr>
                      <w:rFonts w:ascii="Arial" w:hAnsi="Arial" w:cs="Arial"/>
                      <w:b/>
                      <w:sz w:val="22"/>
                      <w:szCs w:val="22"/>
                      <w:lang w:eastAsia="en-GB"/>
                    </w:rPr>
                  </w:pPr>
                  <w:r w:rsidRPr="00410A7D">
                    <w:rPr>
                      <w:rFonts w:ascii="Arial" w:hAnsi="Arial" w:cs="Arial"/>
                      <w:b/>
                      <w:sz w:val="22"/>
                      <w:szCs w:val="22"/>
                      <w:lang w:eastAsia="en-GB"/>
                    </w:rPr>
                    <w:t>Test</w:t>
                  </w:r>
                </w:p>
              </w:tc>
              <w:tc>
                <w:tcPr>
                  <w:tcW w:w="4662" w:type="dxa"/>
                </w:tcPr>
                <w:p w:rsidR="00FB69B6" w:rsidRPr="00410A7D" w:rsidRDefault="00FB69B6" w:rsidP="007472D6">
                  <w:pPr>
                    <w:rPr>
                      <w:rFonts w:ascii="Arial" w:hAnsi="Arial" w:cs="Arial"/>
                      <w:b/>
                      <w:sz w:val="22"/>
                      <w:szCs w:val="22"/>
                      <w:lang w:eastAsia="en-GB"/>
                    </w:rPr>
                  </w:pPr>
                  <w:r w:rsidRPr="00410A7D">
                    <w:rPr>
                      <w:rFonts w:ascii="Arial" w:hAnsi="Arial" w:cs="Arial"/>
                      <w:b/>
                      <w:sz w:val="22"/>
                      <w:szCs w:val="22"/>
                      <w:lang w:eastAsia="en-GB"/>
                    </w:rPr>
                    <w:t>Result</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White cell count</w:t>
                  </w:r>
                </w:p>
              </w:tc>
              <w:tc>
                <w:tcPr>
                  <w:tcW w:w="4662" w:type="dxa"/>
                </w:tcPr>
                <w:p w:rsidR="00FB69B6" w:rsidRPr="00410A7D" w:rsidRDefault="00FB69B6" w:rsidP="00884955">
                  <w:pPr>
                    <w:rPr>
                      <w:rFonts w:ascii="Arial" w:hAnsi="Arial" w:cs="Arial"/>
                      <w:sz w:val="22"/>
                      <w:szCs w:val="22"/>
                      <w:lang w:eastAsia="en-GB"/>
                    </w:rPr>
                  </w:pPr>
                  <w:r w:rsidRPr="00410A7D">
                    <w:rPr>
                      <w:rFonts w:ascii="Arial" w:hAnsi="Arial" w:cs="Arial"/>
                      <w:sz w:val="22"/>
                      <w:szCs w:val="22"/>
                      <w:lang w:eastAsia="en-GB"/>
                    </w:rPr>
                    <w:t>&lt;3.5 * 10</w:t>
                  </w:r>
                  <w:r w:rsidRPr="00410A7D">
                    <w:rPr>
                      <w:rFonts w:ascii="Arial" w:hAnsi="Arial" w:cs="Arial"/>
                      <w:sz w:val="22"/>
                      <w:szCs w:val="22"/>
                      <w:vertAlign w:val="superscript"/>
                      <w:lang w:eastAsia="en-GB"/>
                    </w:rPr>
                    <w:t>9</w:t>
                  </w:r>
                  <w:r w:rsidRPr="00410A7D">
                    <w:rPr>
                      <w:rFonts w:ascii="Arial" w:hAnsi="Arial" w:cs="Arial"/>
                      <w:sz w:val="22"/>
                      <w:szCs w:val="22"/>
                      <w:lang w:eastAsia="en-GB"/>
                    </w:rPr>
                    <w:t>/l (</w:t>
                  </w:r>
                  <w:r w:rsidR="00884955">
                    <w:rPr>
                      <w:rFonts w:ascii="Arial" w:hAnsi="Arial" w:cs="Arial"/>
                      <w:sz w:val="22"/>
                      <w:szCs w:val="22"/>
                      <w:lang w:eastAsia="en-GB"/>
                    </w:rPr>
                    <w:t xml:space="preserve">or </w:t>
                  </w:r>
                  <w:r w:rsidR="00884955">
                    <w:rPr>
                      <w:rFonts w:ascii="Arial" w:hAnsi="Arial" w:cs="Arial"/>
                      <w:color w:val="000000"/>
                      <w:szCs w:val="24"/>
                      <w:lang w:eastAsia="en-GB"/>
                    </w:rPr>
                    <w:t>sequential falls in WBC on 3 occasions)</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Neutrophils</w:t>
                  </w:r>
                </w:p>
              </w:tc>
              <w:tc>
                <w:tcPr>
                  <w:tcW w:w="4662" w:type="dxa"/>
                </w:tcPr>
                <w:p w:rsidR="00FB69B6" w:rsidRPr="00410A7D" w:rsidRDefault="00FB69B6" w:rsidP="00884955">
                  <w:pPr>
                    <w:rPr>
                      <w:rFonts w:ascii="Arial" w:hAnsi="Arial" w:cs="Arial"/>
                      <w:sz w:val="22"/>
                      <w:szCs w:val="22"/>
                      <w:lang w:eastAsia="en-GB"/>
                    </w:rPr>
                  </w:pPr>
                  <w:r w:rsidRPr="00410A7D">
                    <w:rPr>
                      <w:rFonts w:ascii="Arial" w:hAnsi="Arial" w:cs="Arial"/>
                      <w:sz w:val="22"/>
                      <w:szCs w:val="22"/>
                      <w:lang w:eastAsia="en-GB"/>
                    </w:rPr>
                    <w:t>&lt;1.6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r w:rsidR="00884955">
                    <w:rPr>
                      <w:rFonts w:ascii="Arial" w:hAnsi="Arial" w:cs="Arial"/>
                      <w:sz w:val="22"/>
                      <w:szCs w:val="22"/>
                      <w:lang w:eastAsia="en-GB"/>
                    </w:rPr>
                    <w:t xml:space="preserve"> (or </w:t>
                  </w:r>
                  <w:r w:rsidR="00884955">
                    <w:rPr>
                      <w:rFonts w:ascii="Arial" w:hAnsi="Arial" w:cs="Arial"/>
                      <w:color w:val="000000"/>
                      <w:szCs w:val="24"/>
                      <w:lang w:eastAsia="en-GB"/>
                    </w:rPr>
                    <w:t>sequential falls neutrophils &gt;10% on 3 occasions)</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Unexplained eosinophilia</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&gt;0.5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Platelet count</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&lt;140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r w:rsidR="002D0897">
                    <w:rPr>
                      <w:rFonts w:ascii="Arial" w:hAnsi="Arial" w:cs="Arial"/>
                      <w:sz w:val="22"/>
                      <w:szCs w:val="22"/>
                      <w:lang w:eastAsia="en-GB"/>
                    </w:rPr>
                    <w:t xml:space="preserve"> or sequential falls</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MCV</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&gt; 105 f/l</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 xml:space="preserve">Creatinine/ </w:t>
                  </w:r>
                  <w:proofErr w:type="spellStart"/>
                  <w:r w:rsidRPr="00410A7D">
                    <w:rPr>
                      <w:rFonts w:ascii="Arial" w:hAnsi="Arial" w:cs="Arial"/>
                      <w:sz w:val="22"/>
                      <w:szCs w:val="22"/>
                      <w:lang w:eastAsia="en-GB"/>
                    </w:rPr>
                    <w:t>eGFR</w:t>
                  </w:r>
                  <w:proofErr w:type="spellEnd"/>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Creatinine increase &gt;30% over 12 months and/or GFR &lt;60ml/min/1.73m2</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ALT (and</w:t>
                  </w:r>
                  <w:r w:rsidR="00B32EB7">
                    <w:rPr>
                      <w:rFonts w:ascii="Arial" w:hAnsi="Arial" w:cs="Arial"/>
                      <w:sz w:val="22"/>
                      <w:szCs w:val="22"/>
                      <w:lang w:eastAsia="en-GB"/>
                    </w:rPr>
                    <w:t>/</w:t>
                  </w:r>
                  <w:r w:rsidRPr="00410A7D">
                    <w:rPr>
                      <w:rFonts w:ascii="Arial" w:hAnsi="Arial" w:cs="Arial"/>
                      <w:sz w:val="22"/>
                      <w:szCs w:val="22"/>
                      <w:lang w:eastAsia="en-GB"/>
                    </w:rPr>
                    <w:t>or AST)</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 xml:space="preserve">&gt;100 U/L </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Albumin</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Unexplained reduction in albumin to &lt;30g/l</w:t>
                  </w:r>
                </w:p>
              </w:tc>
            </w:tr>
          </w:tbl>
          <w:p w:rsidR="00FB69B6" w:rsidRPr="00410A7D" w:rsidRDefault="00FB69B6" w:rsidP="00147EEA">
            <w:pPr>
              <w:jc w:val="both"/>
              <w:rPr>
                <w:rFonts w:ascii="Arial" w:hAnsi="Arial" w:cs="Arial"/>
                <w:szCs w:val="24"/>
              </w:rPr>
            </w:pPr>
            <w:r w:rsidRPr="00410A7D">
              <w:rPr>
                <w:rFonts w:ascii="Arial" w:hAnsi="Arial" w:cs="Arial"/>
                <w:szCs w:val="24"/>
              </w:rPr>
              <w:lastRenderedPageBreak/>
              <w:t xml:space="preserve">If the patient develops oral ulceration, abnormal bruising, sore throat or an unexplained rash then reduce dose or </w:t>
            </w:r>
            <w:r w:rsidRPr="00410A7D">
              <w:rPr>
                <w:rFonts w:ascii="Arial" w:hAnsi="Arial" w:cs="Arial"/>
                <w:bCs/>
                <w:szCs w:val="24"/>
              </w:rPr>
              <w:t xml:space="preserve">withhold methotrexate if severe until FBC available and discuss with </w:t>
            </w:r>
            <w:r w:rsidR="00147EEA">
              <w:rPr>
                <w:rFonts w:ascii="Arial" w:hAnsi="Arial" w:cs="Arial"/>
                <w:bCs/>
                <w:szCs w:val="24"/>
              </w:rPr>
              <w:t>specialist</w:t>
            </w:r>
            <w:r w:rsidRPr="00410A7D">
              <w:rPr>
                <w:rFonts w:ascii="Arial" w:hAnsi="Arial" w:cs="Arial"/>
                <w:sz w:val="22"/>
                <w:szCs w:val="22"/>
              </w:rPr>
              <w:t xml:space="preserve"> </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lastRenderedPageBreak/>
              <w:t>Infection</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Default="00FB69B6" w:rsidP="007472D6">
            <w:pPr>
              <w:spacing w:after="360"/>
              <w:contextualSpacing/>
              <w:rPr>
                <w:rFonts w:ascii="Arial" w:hAnsi="Arial" w:cs="Arial"/>
                <w:szCs w:val="24"/>
              </w:rPr>
            </w:pPr>
            <w:r w:rsidRPr="00410A7D">
              <w:rPr>
                <w:rFonts w:ascii="Arial" w:hAnsi="Arial" w:cs="Arial"/>
              </w:rPr>
              <w:t xml:space="preserve">During serious infections, the immunosuppressant agent (IA) should be temporarily discontinued until the patient has recovered from the infection. </w:t>
            </w:r>
            <w:r w:rsidRPr="00410A7D">
              <w:rPr>
                <w:rFonts w:ascii="Arial" w:hAnsi="Arial" w:cs="Arial"/>
                <w:bCs/>
                <w:szCs w:val="24"/>
              </w:rPr>
              <w:t>I</w:t>
            </w:r>
            <w:r w:rsidRPr="00410A7D">
              <w:rPr>
                <w:rFonts w:ascii="Arial" w:hAnsi="Arial" w:cs="Arial"/>
                <w:szCs w:val="24"/>
              </w:rPr>
              <w:t xml:space="preserve">f infection develops requiring antibiotics, </w:t>
            </w:r>
            <w:r w:rsidRPr="00410A7D">
              <w:rPr>
                <w:rFonts w:ascii="Arial" w:hAnsi="Arial" w:cs="Arial"/>
                <w:b/>
                <w:szCs w:val="24"/>
              </w:rPr>
              <w:t>stop methotrexate for duration of antibiotics</w:t>
            </w:r>
            <w:r w:rsidRPr="00410A7D">
              <w:rPr>
                <w:rFonts w:ascii="Arial" w:hAnsi="Arial" w:cs="Arial"/>
                <w:szCs w:val="24"/>
              </w:rPr>
              <w:t>. Patient should be seen by GP/Clinician within 12 hours of onset of infective symptoms</w:t>
            </w:r>
            <w:r>
              <w:rPr>
                <w:rFonts w:ascii="Arial" w:hAnsi="Arial" w:cs="Arial"/>
                <w:szCs w:val="24"/>
              </w:rPr>
              <w:t>.</w:t>
            </w:r>
          </w:p>
          <w:p w:rsidR="00FB69B6" w:rsidRPr="00410A7D" w:rsidRDefault="00FB69B6" w:rsidP="007472D6">
            <w:pPr>
              <w:spacing w:after="360"/>
              <w:contextualSpacing/>
              <w:rPr>
                <w:rFonts w:ascii="Arial" w:hAnsi="Arial" w:cs="Arial"/>
              </w:rPr>
            </w:pPr>
            <w:r w:rsidRPr="00410A7D">
              <w:rPr>
                <w:rFonts w:ascii="Arial" w:hAnsi="Arial" w:cs="Arial"/>
              </w:rPr>
              <w:t xml:space="preserve">It is usually appropriate to continue </w:t>
            </w:r>
            <w:r>
              <w:rPr>
                <w:rFonts w:ascii="Arial" w:hAnsi="Arial" w:cs="Arial"/>
              </w:rPr>
              <w:t xml:space="preserve">IAs </w:t>
            </w:r>
            <w:r w:rsidRPr="00410A7D">
              <w:rPr>
                <w:rFonts w:ascii="Arial" w:hAnsi="Arial" w:cs="Arial"/>
              </w:rPr>
              <w:t>in minor infections (e.g. a treated, uncomplicated UTI).</w:t>
            </w:r>
            <w:r>
              <w:rPr>
                <w:rFonts w:ascii="Arial" w:hAnsi="Arial" w:cs="Arial"/>
              </w:rPr>
              <w:t xml:space="preserve"> </w:t>
            </w:r>
            <w:r w:rsidRPr="00410A7D">
              <w:rPr>
                <w:rFonts w:ascii="Arial" w:eastAsia="Cambria" w:hAnsi="Arial" w:cs="Arial"/>
              </w:rPr>
              <w:t>The IA would usually be restarted after antimicrobial treatment is complete and the patient has started to make a significant clinical improvement. When the IA is restarted, the same monitoring schedule should be followed.</w:t>
            </w:r>
          </w:p>
          <w:p w:rsidR="00FB69B6" w:rsidRPr="00410A7D" w:rsidRDefault="00FB69B6" w:rsidP="007472D6">
            <w:pPr>
              <w:spacing w:after="360"/>
              <w:contextualSpacing/>
              <w:rPr>
                <w:rFonts w:ascii="Arial" w:hAnsi="Arial" w:cs="Arial"/>
              </w:rPr>
            </w:pPr>
          </w:p>
          <w:p w:rsidR="00FB69B6" w:rsidRPr="00410A7D" w:rsidRDefault="00FB69B6" w:rsidP="007472D6">
            <w:pPr>
              <w:rPr>
                <w:rFonts w:ascii="Arial" w:eastAsia="Cambria" w:hAnsi="Arial" w:cs="Arial"/>
              </w:rPr>
            </w:pPr>
            <w:r w:rsidRPr="00410A7D">
              <w:rPr>
                <w:rFonts w:ascii="Arial" w:eastAsia="Cambria" w:hAnsi="Arial" w:cs="Arial"/>
              </w:rPr>
              <w:t xml:space="preserve">Patients treated with immunosuppressants are at increased risk for opportunistic infections (bacterial, fungal, viral and protozoal). </w:t>
            </w:r>
          </w:p>
          <w:p w:rsidR="00FB69B6" w:rsidRPr="00410A7D" w:rsidRDefault="00FB69B6" w:rsidP="007472D6">
            <w:pPr>
              <w:rPr>
                <w:rFonts w:ascii="Arial" w:eastAsia="Cambria" w:hAnsi="Arial" w:cs="Arial"/>
              </w:rPr>
            </w:pPr>
          </w:p>
          <w:p w:rsidR="00FB69B6" w:rsidRPr="0005203B" w:rsidRDefault="00FB69B6" w:rsidP="00147EEA">
            <w:pPr>
              <w:rPr>
                <w:rFonts w:ascii="Arial" w:hAnsi="Arial" w:cs="Arial"/>
                <w:szCs w:val="24"/>
              </w:rPr>
            </w:pPr>
            <w:r w:rsidRPr="00410A7D">
              <w:rPr>
                <w:rFonts w:ascii="Arial" w:hAnsi="Arial" w:cs="Arial"/>
                <w:szCs w:val="24"/>
              </w:rPr>
              <w:t xml:space="preserve">If Herpes Zoster occurs stop methotrexate and prescribe aciclovir.  If patient is in contact with chicken pox, contact </w:t>
            </w:r>
            <w:r w:rsidR="00147EEA">
              <w:rPr>
                <w:rFonts w:ascii="Arial" w:hAnsi="Arial" w:cs="Arial"/>
                <w:szCs w:val="24"/>
              </w:rPr>
              <w:t>specialist</w:t>
            </w:r>
            <w:r w:rsidRPr="00410A7D">
              <w:rPr>
                <w:rFonts w:ascii="Arial" w:hAnsi="Arial" w:cs="Arial"/>
                <w:szCs w:val="24"/>
              </w:rPr>
              <w:t xml:space="preserve"> (may need Zoster Immunoglobulin).</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t>Respiratory symptoms</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147EEA">
            <w:pPr>
              <w:rPr>
                <w:rFonts w:ascii="Arial" w:hAnsi="Arial" w:cs="Arial"/>
                <w:szCs w:val="24"/>
              </w:rPr>
            </w:pPr>
            <w:r w:rsidRPr="00410A7D">
              <w:rPr>
                <w:rFonts w:ascii="Arial" w:hAnsi="Arial" w:cs="Arial"/>
                <w:szCs w:val="24"/>
              </w:rPr>
              <w:t xml:space="preserve">Methotrexate can very rarely cause pneumonitis.  This usually occurs in the first year of treatment. If the patient develops acute or subacute dyspnoea (with or without a dry cough) and there is an absence of other signs and symptoms to point to an alternative cause, then stop the methotrexate and contact the </w:t>
            </w:r>
            <w:r w:rsidR="00147EEA">
              <w:rPr>
                <w:rFonts w:ascii="Arial" w:hAnsi="Arial" w:cs="Arial"/>
                <w:szCs w:val="24"/>
              </w:rPr>
              <w:t>specialist.</w:t>
            </w:r>
            <w:r w:rsidRPr="00410A7D">
              <w:rPr>
                <w:rFonts w:ascii="Arial" w:hAnsi="Arial" w:cs="Arial"/>
                <w:szCs w:val="24"/>
              </w:rPr>
              <w:t xml:space="preserve"> </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t>Vaccination</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Default="00FB69B6" w:rsidP="007472D6">
            <w:pPr>
              <w:contextualSpacing/>
              <w:rPr>
                <w:rFonts w:ascii="Arial" w:hAnsi="Arial" w:cs="Arial"/>
                <w:szCs w:val="24"/>
              </w:rPr>
            </w:pPr>
            <w:r w:rsidRPr="00410A7D">
              <w:rPr>
                <w:rFonts w:ascii="Arial" w:hAnsi="Arial" w:cs="Arial"/>
                <w:szCs w:val="24"/>
              </w:rPr>
              <w:t>Vaccination against influenza and pneumococcus should be offered. Live vaccines should not be given.</w:t>
            </w:r>
          </w:p>
          <w:p w:rsidR="00A83A4D" w:rsidRPr="00752600" w:rsidRDefault="00A83A4D" w:rsidP="007472D6">
            <w:pPr>
              <w:contextualSpacing/>
              <w:rPr>
                <w:rFonts w:ascii="Arial" w:hAnsi="Arial" w:cs="Arial"/>
                <w:szCs w:val="24"/>
              </w:rPr>
            </w:pPr>
            <w:r>
              <w:rPr>
                <w:rFonts w:ascii="Arial" w:hAnsi="Arial" w:cs="Arial"/>
                <w:szCs w:val="24"/>
              </w:rPr>
              <w:t xml:space="preserve">Shingles vaccination (Zostavax®) contains live, attenuated virus. The Green Book advises that shingles vaccine can be administered provided the dose of methotrexate is ≤25mg/week and no other contraindications exist. Please refer to the latest Green Book for current advice: </w:t>
            </w:r>
            <w:hyperlink r:id="rId9" w:history="1">
              <w:r w:rsidRPr="00F70CE1">
                <w:rPr>
                  <w:rStyle w:val="Hyperlink"/>
                  <w:rFonts w:ascii="Arial" w:hAnsi="Arial" w:cs="Arial"/>
                  <w:szCs w:val="24"/>
                </w:rPr>
                <w:t>https://www.gov.uk/government/collections/immunisation-against-infectious-disease-the-green-book</w:t>
              </w:r>
            </w:hyperlink>
            <w:r>
              <w:rPr>
                <w:rFonts w:ascii="Arial" w:hAnsi="Arial" w:cs="Arial"/>
                <w:szCs w:val="24"/>
              </w:rPr>
              <w:t xml:space="preserve"> </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t>Pregnancy and breastfeeding</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Default="00FB69B6" w:rsidP="007472D6">
            <w:pPr>
              <w:rPr>
                <w:rFonts w:ascii="Arial" w:hAnsi="Arial" w:cs="Arial"/>
                <w:szCs w:val="24"/>
              </w:rPr>
            </w:pPr>
            <w:r w:rsidRPr="00410A7D">
              <w:rPr>
                <w:rFonts w:ascii="Arial" w:hAnsi="Arial" w:cs="Arial"/>
                <w:szCs w:val="24"/>
              </w:rPr>
              <w:t xml:space="preserve">If the patient becomes pregnant, contact the </w:t>
            </w:r>
            <w:r w:rsidR="00147EEA">
              <w:rPr>
                <w:rFonts w:ascii="Arial" w:hAnsi="Arial" w:cs="Arial"/>
                <w:szCs w:val="24"/>
              </w:rPr>
              <w:t>specialist</w:t>
            </w:r>
            <w:r w:rsidRPr="00410A7D">
              <w:rPr>
                <w:rFonts w:ascii="Arial" w:hAnsi="Arial" w:cs="Arial"/>
                <w:szCs w:val="24"/>
              </w:rPr>
              <w:t>. All patients, both men and women, should be advised against conception and pregnancy whilst taking methotrexate and for 3 months after stopping it, Methotrexate is teratogenic and is contraindicated in pregnancy and breastfeeding. Methotrexate should be stopped in both men and women 3 months before trying to conceive.</w:t>
            </w:r>
          </w:p>
          <w:p w:rsidR="00FB69B6" w:rsidRPr="00410A7D" w:rsidRDefault="00FB69B6" w:rsidP="007472D6">
            <w:pPr>
              <w:rPr>
                <w:rFonts w:ascii="Arial" w:hAnsi="Arial" w:cs="Arial"/>
                <w:szCs w:val="24"/>
              </w:rPr>
            </w:pPr>
            <w:r>
              <w:rPr>
                <w:rFonts w:ascii="Arial" w:hAnsi="Arial" w:cs="Arial"/>
                <w:szCs w:val="24"/>
              </w:rPr>
              <w:t>Men and women should be advise</w:t>
            </w:r>
            <w:r w:rsidR="00150FFD">
              <w:rPr>
                <w:rFonts w:ascii="Arial" w:hAnsi="Arial" w:cs="Arial"/>
                <w:szCs w:val="24"/>
              </w:rPr>
              <w:t>d</w:t>
            </w:r>
            <w:r>
              <w:rPr>
                <w:rFonts w:ascii="Arial" w:hAnsi="Arial" w:cs="Arial"/>
                <w:szCs w:val="24"/>
              </w:rPr>
              <w:t xml:space="preserve"> to use effective contraception throughout treatment</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792897" w:rsidRDefault="00FB69B6" w:rsidP="007472D6">
            <w:pPr>
              <w:spacing w:after="360"/>
              <w:contextualSpacing/>
              <w:rPr>
                <w:rFonts w:ascii="Arial" w:hAnsi="Arial" w:cs="Arial"/>
              </w:rPr>
            </w:pPr>
            <w:r w:rsidRPr="00792897">
              <w:rPr>
                <w:rFonts w:ascii="Arial" w:hAnsi="Arial" w:cs="Arial"/>
              </w:rPr>
              <w:t>Perioperative use</w:t>
            </w:r>
          </w:p>
          <w:p w:rsidR="00FB69B6" w:rsidRPr="00792897" w:rsidRDefault="00FB69B6" w:rsidP="007472D6">
            <w:pPr>
              <w:rPr>
                <w:rFonts w:ascii="Arial" w:hAnsi="Arial" w:cs="Arial"/>
                <w:szCs w:val="24"/>
              </w:rPr>
            </w:pP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spacing w:after="360"/>
              <w:contextualSpacing/>
              <w:rPr>
                <w:rFonts w:ascii="Arial" w:hAnsi="Arial" w:cs="Arial"/>
              </w:rPr>
            </w:pPr>
            <w:r w:rsidRPr="00410A7D">
              <w:rPr>
                <w:rFonts w:ascii="Arial" w:hAnsi="Arial" w:cs="Arial"/>
              </w:rPr>
              <w:t>Steroid exposure should be minimised prior to surgical procedures and increases in steroid doses to prevent adrenal insufficiency are not routinely required</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792897" w:rsidRDefault="00FB69B6" w:rsidP="007472D6">
            <w:pPr>
              <w:spacing w:after="360"/>
              <w:contextualSpacing/>
              <w:rPr>
                <w:rFonts w:ascii="Arial" w:hAnsi="Arial" w:cs="Arial"/>
              </w:rPr>
            </w:pPr>
            <w:r w:rsidRPr="00792897">
              <w:rPr>
                <w:rFonts w:ascii="Arial" w:hAnsi="Arial" w:cs="Arial"/>
              </w:rPr>
              <w:t>Nausea and vomiting</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147EEA">
            <w:pPr>
              <w:contextualSpacing/>
              <w:rPr>
                <w:rFonts w:ascii="Arial" w:hAnsi="Arial" w:cs="Arial"/>
                <w:szCs w:val="24"/>
              </w:rPr>
            </w:pPr>
            <w:r w:rsidRPr="00410A7D">
              <w:rPr>
                <w:rFonts w:ascii="Arial" w:hAnsi="Arial" w:cs="Arial"/>
                <w:szCs w:val="24"/>
              </w:rPr>
              <w:t xml:space="preserve">IAs may cause nausea, vomiting or diarrhoea on their introduction or on an escalation of the dose.  In this situation, contact the </w:t>
            </w:r>
            <w:r w:rsidR="00147EEA">
              <w:rPr>
                <w:rFonts w:ascii="Arial" w:hAnsi="Arial" w:cs="Arial"/>
                <w:szCs w:val="24"/>
              </w:rPr>
              <w:t>specialist</w:t>
            </w:r>
            <w:r w:rsidRPr="00410A7D">
              <w:rPr>
                <w:rFonts w:ascii="Arial" w:hAnsi="Arial" w:cs="Arial"/>
                <w:szCs w:val="24"/>
              </w:rPr>
              <w:t xml:space="preserve">.  Once the patient has been established on a stable dose of an IA it would be unusual for this to cause significant GI symptoms.  </w:t>
            </w:r>
          </w:p>
        </w:tc>
      </w:tr>
      <w:tr w:rsidR="00FB69B6" w:rsidRPr="00410A7D" w:rsidTr="000109A6">
        <w:trPr>
          <w:trHeight w:val="9950"/>
          <w:jc w:val="center"/>
        </w:trPr>
        <w:tc>
          <w:tcPr>
            <w:tcW w:w="1050" w:type="pct"/>
            <w:tcBorders>
              <w:top w:val="single" w:sz="6" w:space="0" w:color="auto"/>
              <w:left w:val="single" w:sz="6" w:space="0" w:color="auto"/>
            </w:tcBorders>
            <w:shd w:val="pct5" w:color="auto" w:fill="auto"/>
          </w:tcPr>
          <w:p w:rsidR="00FB69B6" w:rsidRPr="00792897" w:rsidRDefault="00FB69B6" w:rsidP="007472D6">
            <w:pPr>
              <w:spacing w:after="360"/>
              <w:contextualSpacing/>
              <w:rPr>
                <w:rFonts w:ascii="Arial" w:hAnsi="Arial" w:cs="Arial"/>
              </w:rPr>
            </w:pPr>
            <w:r w:rsidRPr="00410A7D">
              <w:rPr>
                <w:rFonts w:ascii="Arial" w:hAnsi="Arial" w:cs="Arial"/>
                <w:szCs w:val="24"/>
              </w:rPr>
              <w:lastRenderedPageBreak/>
              <w:t>Specialist Responsibilities</w:t>
            </w:r>
          </w:p>
          <w:p w:rsidR="00FB69B6" w:rsidRPr="00792897" w:rsidRDefault="00FB69B6" w:rsidP="007472D6">
            <w:pPr>
              <w:rPr>
                <w:rFonts w:ascii="Arial" w:hAnsi="Arial" w:cs="Arial"/>
              </w:rPr>
            </w:pPr>
          </w:p>
        </w:tc>
        <w:tc>
          <w:tcPr>
            <w:tcW w:w="3950" w:type="pct"/>
            <w:gridSpan w:val="2"/>
            <w:tcBorders>
              <w:top w:val="single" w:sz="6" w:space="0" w:color="auto"/>
              <w:left w:val="single" w:sz="6" w:space="0" w:color="auto"/>
              <w:right w:val="single" w:sz="6" w:space="0" w:color="auto"/>
            </w:tcBorders>
            <w:vAlign w:val="center"/>
          </w:tcPr>
          <w:p w:rsidR="00FB69B6" w:rsidRPr="00410A7D" w:rsidRDefault="00FB69B6" w:rsidP="00FB69B6">
            <w:pPr>
              <w:numPr>
                <w:ilvl w:val="0"/>
                <w:numId w:val="41"/>
              </w:numPr>
              <w:contextualSpacing/>
              <w:rPr>
                <w:rFonts w:ascii="Arial" w:hAnsi="Arial" w:cs="Arial"/>
              </w:rPr>
            </w:pPr>
            <w:r w:rsidRPr="00410A7D">
              <w:rPr>
                <w:rFonts w:ascii="Arial" w:hAnsi="Arial" w:cs="Arial"/>
              </w:rPr>
              <w:t>The decision to initiate immunosuppressive therapy must be made in conjunction with the patient/carer and be supervised by an expert in the condition in question</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Patients must be provided with education about their treatment</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 will be provided with an methotrexate patient information leaflet</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Patients must be assessed for contra-indications and co-morbidities</w:t>
            </w:r>
          </w:p>
          <w:p w:rsidR="00FB69B6" w:rsidRPr="00410A7D" w:rsidRDefault="00FB69B6" w:rsidP="00FB69B6">
            <w:pPr>
              <w:numPr>
                <w:ilvl w:val="0"/>
                <w:numId w:val="41"/>
              </w:numPr>
              <w:contextualSpacing/>
              <w:rPr>
                <w:rFonts w:ascii="Arial" w:hAnsi="Arial" w:cs="Arial"/>
              </w:rPr>
            </w:pPr>
            <w:r w:rsidRPr="00410A7D">
              <w:rPr>
                <w:rFonts w:ascii="Arial" w:hAnsi="Arial" w:cs="Arial"/>
              </w:rPr>
              <w:t>Where appropriate, patients should be advised about the impact of the immunosuppressive agent (IA) on fertility, pregnancy and breastfeeding</w:t>
            </w:r>
          </w:p>
          <w:p w:rsidR="00FB69B6" w:rsidRPr="00410A7D" w:rsidRDefault="00FB69B6" w:rsidP="00FB69B6">
            <w:pPr>
              <w:numPr>
                <w:ilvl w:val="0"/>
                <w:numId w:val="41"/>
              </w:numPr>
              <w:contextualSpacing/>
              <w:rPr>
                <w:rFonts w:ascii="Arial" w:hAnsi="Arial" w:cs="Arial"/>
              </w:rPr>
            </w:pPr>
            <w:r w:rsidRPr="00410A7D">
              <w:rPr>
                <w:rFonts w:ascii="Arial" w:hAnsi="Arial" w:cs="Arial"/>
              </w:rPr>
              <w:t>Vaccinations against pneumococcus and influenza are recommended</w:t>
            </w:r>
          </w:p>
          <w:p w:rsidR="00FB69B6" w:rsidRDefault="00FB69B6" w:rsidP="00FB69B6">
            <w:pPr>
              <w:numPr>
                <w:ilvl w:val="0"/>
                <w:numId w:val="41"/>
              </w:numPr>
              <w:contextualSpacing/>
              <w:rPr>
                <w:rFonts w:ascii="Arial" w:hAnsi="Arial" w:cs="Arial"/>
              </w:rPr>
            </w:pPr>
            <w:r w:rsidRPr="00410A7D">
              <w:rPr>
                <w:rFonts w:ascii="Arial" w:hAnsi="Arial" w:cs="Arial"/>
              </w:rPr>
              <w:t xml:space="preserve">Interactions between the proposed IA and current medication should be </w:t>
            </w:r>
            <w:r>
              <w:rPr>
                <w:rFonts w:ascii="Arial" w:hAnsi="Arial" w:cs="Arial"/>
              </w:rPr>
              <w:t>identified and actioned</w:t>
            </w:r>
          </w:p>
          <w:p w:rsidR="00FB69B6" w:rsidRDefault="00FB69B6" w:rsidP="00FB69B6">
            <w:pPr>
              <w:numPr>
                <w:ilvl w:val="0"/>
                <w:numId w:val="41"/>
              </w:numPr>
              <w:contextualSpacing/>
              <w:rPr>
                <w:rFonts w:ascii="Arial" w:hAnsi="Arial" w:cs="Arial"/>
              </w:rPr>
            </w:pPr>
            <w:r>
              <w:rPr>
                <w:rFonts w:ascii="Arial" w:hAnsi="Arial" w:cs="Arial"/>
              </w:rPr>
              <w:t>Direct the patient to report any sign of infection or side effect to their GP or hospital clinic</w:t>
            </w:r>
          </w:p>
          <w:p w:rsidR="00FB69B6" w:rsidRDefault="00FB69B6" w:rsidP="00FB69B6">
            <w:pPr>
              <w:numPr>
                <w:ilvl w:val="0"/>
                <w:numId w:val="41"/>
              </w:numPr>
              <w:contextualSpacing/>
              <w:rPr>
                <w:rFonts w:ascii="Arial" w:hAnsi="Arial" w:cs="Arial"/>
              </w:rPr>
            </w:pPr>
            <w:r>
              <w:rPr>
                <w:rFonts w:ascii="Arial" w:hAnsi="Arial" w:cs="Arial"/>
              </w:rPr>
              <w:t>Conduct baseline monitoring</w:t>
            </w:r>
          </w:p>
          <w:p w:rsidR="00FB69B6" w:rsidRDefault="00FB69B6" w:rsidP="00FB69B6">
            <w:pPr>
              <w:numPr>
                <w:ilvl w:val="0"/>
                <w:numId w:val="41"/>
              </w:numPr>
              <w:contextualSpacing/>
              <w:rPr>
                <w:rFonts w:ascii="Arial" w:hAnsi="Arial" w:cs="Arial"/>
              </w:rPr>
            </w:pPr>
            <w:r>
              <w:rPr>
                <w:rFonts w:ascii="Arial" w:hAnsi="Arial" w:cs="Arial"/>
              </w:rPr>
              <w:t xml:space="preserve">Prescribe medication until responsibility agreed to be transferred to patients GP </w:t>
            </w:r>
          </w:p>
          <w:p w:rsidR="00FB69B6" w:rsidRDefault="00FB69B6" w:rsidP="00FB69B6">
            <w:pPr>
              <w:numPr>
                <w:ilvl w:val="0"/>
                <w:numId w:val="41"/>
              </w:numPr>
              <w:contextualSpacing/>
              <w:rPr>
                <w:rFonts w:ascii="Arial" w:hAnsi="Arial" w:cs="Arial"/>
              </w:rPr>
            </w:pPr>
            <w:r>
              <w:rPr>
                <w:rFonts w:ascii="Arial" w:hAnsi="Arial" w:cs="Arial"/>
              </w:rPr>
              <w:t>Supply general immunosuppressant background information to GP as per this guidance</w:t>
            </w:r>
          </w:p>
          <w:p w:rsidR="00FB69B6" w:rsidRDefault="00FB69B6" w:rsidP="00FB69B6">
            <w:pPr>
              <w:numPr>
                <w:ilvl w:val="0"/>
                <w:numId w:val="41"/>
              </w:numPr>
              <w:contextualSpacing/>
              <w:rPr>
                <w:rFonts w:ascii="Arial" w:hAnsi="Arial" w:cs="Arial"/>
              </w:rPr>
            </w:pPr>
            <w:r>
              <w:rPr>
                <w:rFonts w:ascii="Arial" w:hAnsi="Arial" w:cs="Arial"/>
              </w:rPr>
              <w:t xml:space="preserve">Request GP participate in shared care in writing no sooner than </w:t>
            </w:r>
            <w:r w:rsidRPr="00FB69B6">
              <w:rPr>
                <w:rFonts w:ascii="Arial" w:hAnsi="Arial" w:cs="Arial"/>
                <w:b/>
              </w:rPr>
              <w:t>3 months</w:t>
            </w:r>
            <w:r w:rsidR="00721D97">
              <w:rPr>
                <w:rFonts w:ascii="Arial" w:hAnsi="Arial" w:cs="Arial"/>
                <w:b/>
              </w:rPr>
              <w:t xml:space="preserve"> after initiation</w:t>
            </w:r>
            <w:r>
              <w:rPr>
                <w:rFonts w:ascii="Arial" w:hAnsi="Arial" w:cs="Arial"/>
              </w:rPr>
              <w:t xml:space="preserve"> and patient </w:t>
            </w:r>
            <w:r w:rsidRPr="00FB69B6">
              <w:rPr>
                <w:rFonts w:ascii="Arial" w:hAnsi="Arial" w:cs="Arial"/>
                <w:b/>
              </w:rPr>
              <w:t>is stable</w:t>
            </w:r>
            <w:r w:rsidRPr="00927E9C">
              <w:rPr>
                <w:rFonts w:ascii="Arial" w:hAnsi="Arial" w:cs="Arial"/>
                <w:u w:val="single"/>
              </w:rPr>
              <w:t xml:space="preserve"> </w:t>
            </w:r>
          </w:p>
          <w:p w:rsidR="00FB69B6" w:rsidRDefault="00FB69B6" w:rsidP="00FB69B6">
            <w:pPr>
              <w:numPr>
                <w:ilvl w:val="0"/>
                <w:numId w:val="41"/>
              </w:numPr>
              <w:contextualSpacing/>
              <w:rPr>
                <w:rFonts w:ascii="Arial" w:hAnsi="Arial" w:cs="Arial"/>
              </w:rPr>
            </w:pPr>
            <w:r>
              <w:rPr>
                <w:rFonts w:ascii="Arial" w:hAnsi="Arial" w:cs="Arial"/>
                <w:szCs w:val="24"/>
              </w:rPr>
              <w:t>At least 4 weeks of</w:t>
            </w:r>
            <w:r w:rsidRPr="00F32506">
              <w:rPr>
                <w:rFonts w:ascii="Arial" w:hAnsi="Arial" w:cs="Arial"/>
                <w:szCs w:val="24"/>
              </w:rPr>
              <w:t xml:space="preserve"> medication supplied at point of transfer</w:t>
            </w:r>
          </w:p>
          <w:p w:rsidR="00FB69B6" w:rsidRPr="00F32506" w:rsidRDefault="00FB69B6" w:rsidP="00FB69B6">
            <w:pPr>
              <w:pStyle w:val="ListParagraph"/>
              <w:numPr>
                <w:ilvl w:val="0"/>
                <w:numId w:val="41"/>
              </w:numPr>
              <w:rPr>
                <w:rFonts w:ascii="Arial" w:hAnsi="Arial" w:cs="Arial"/>
              </w:rPr>
            </w:pPr>
            <w:r w:rsidRPr="00F32506">
              <w:rPr>
                <w:rFonts w:ascii="Arial" w:hAnsi="Arial" w:cs="Arial"/>
              </w:rPr>
              <w:t>The secondary care specialist will communicate with the patient and GP when treatment is changed and/or needs to be changed by GP on future prescriptions, and/or when any changes to the monitoring are required, usually within 24 hrs</w:t>
            </w:r>
          </w:p>
          <w:p w:rsidR="00FB69B6" w:rsidRDefault="00FB69B6" w:rsidP="00FB69B6">
            <w:pPr>
              <w:numPr>
                <w:ilvl w:val="0"/>
                <w:numId w:val="41"/>
              </w:numPr>
              <w:contextualSpacing/>
              <w:rPr>
                <w:rFonts w:ascii="Arial" w:hAnsi="Arial" w:cs="Arial"/>
              </w:rPr>
            </w:pPr>
            <w:r>
              <w:rPr>
                <w:rFonts w:ascii="Arial" w:hAnsi="Arial" w:cs="Arial"/>
              </w:rPr>
              <w:t>Conduct routine monitoring as per schedule while prescribing responsibility with specialist – this could be during initiation or at any point in time where the responsibility has been transferred back to the specialist</w:t>
            </w:r>
          </w:p>
          <w:p w:rsidR="00FB69B6" w:rsidRDefault="00FB69B6" w:rsidP="00FB69B6">
            <w:pPr>
              <w:numPr>
                <w:ilvl w:val="0"/>
                <w:numId w:val="41"/>
              </w:numPr>
              <w:contextualSpacing/>
              <w:rPr>
                <w:rFonts w:ascii="Arial" w:hAnsi="Arial" w:cs="Arial"/>
              </w:rPr>
            </w:pPr>
            <w:r>
              <w:rPr>
                <w:rFonts w:ascii="Arial" w:hAnsi="Arial" w:cs="Arial"/>
              </w:rPr>
              <w:t xml:space="preserve">Observe advice relating to vaccination, perioperative use, infections </w:t>
            </w:r>
            <w:proofErr w:type="spellStart"/>
            <w:r>
              <w:rPr>
                <w:rFonts w:ascii="Arial" w:hAnsi="Arial" w:cs="Arial"/>
              </w:rPr>
              <w:t>etc</w:t>
            </w:r>
            <w:proofErr w:type="spellEnd"/>
            <w:r>
              <w:rPr>
                <w:rFonts w:ascii="Arial" w:hAnsi="Arial" w:cs="Arial"/>
              </w:rPr>
              <w:t xml:space="preserve"> contained in this document</w:t>
            </w:r>
          </w:p>
          <w:p w:rsidR="00FB69B6" w:rsidRPr="00B32EB7" w:rsidRDefault="00FB69B6" w:rsidP="00FB69B6">
            <w:pPr>
              <w:numPr>
                <w:ilvl w:val="0"/>
                <w:numId w:val="41"/>
              </w:numPr>
              <w:contextualSpacing/>
              <w:rPr>
                <w:rFonts w:ascii="Arial" w:hAnsi="Arial" w:cs="Arial"/>
                <w:color w:val="000000"/>
                <w:szCs w:val="24"/>
                <w:lang w:eastAsia="en-GB"/>
              </w:rPr>
            </w:pPr>
            <w:r w:rsidRPr="00F32506">
              <w:rPr>
                <w:rFonts w:ascii="Arial" w:hAnsi="Arial" w:cs="Arial"/>
              </w:rPr>
              <w:t xml:space="preserve">Specialist responsible for ongoing </w:t>
            </w:r>
            <w:r w:rsidRPr="00B0218A">
              <w:rPr>
                <w:rFonts w:ascii="Arial" w:hAnsi="Arial" w:cs="Arial"/>
                <w:b/>
              </w:rPr>
              <w:t>disease</w:t>
            </w:r>
            <w:r w:rsidRPr="00F32506">
              <w:rPr>
                <w:rFonts w:ascii="Arial" w:hAnsi="Arial" w:cs="Arial"/>
              </w:rPr>
              <w:t xml:space="preserve"> monitoring</w:t>
            </w:r>
            <w:r w:rsidR="00F6087E">
              <w:rPr>
                <w:rFonts w:ascii="Arial" w:hAnsi="Arial" w:cs="Arial"/>
              </w:rPr>
              <w:t xml:space="preserve"> </w:t>
            </w:r>
            <w:r w:rsidRPr="00F32506">
              <w:rPr>
                <w:rFonts w:ascii="Arial" w:hAnsi="Arial" w:cs="Arial"/>
              </w:rPr>
              <w:t>– clinical response to therapy will be assessed by the hospital physician in all cases and communicated to the GP</w:t>
            </w:r>
          </w:p>
          <w:p w:rsidR="00F6087E" w:rsidRPr="00410A7D" w:rsidRDefault="00F6087E" w:rsidP="00FB69B6">
            <w:pPr>
              <w:numPr>
                <w:ilvl w:val="0"/>
                <w:numId w:val="41"/>
              </w:numPr>
              <w:contextualSpacing/>
              <w:rPr>
                <w:rFonts w:ascii="Arial" w:hAnsi="Arial" w:cs="Arial"/>
                <w:color w:val="000000"/>
                <w:szCs w:val="24"/>
                <w:lang w:eastAsia="en-GB"/>
              </w:rPr>
            </w:pPr>
            <w:r>
              <w:rPr>
                <w:rFonts w:ascii="Arial" w:hAnsi="Arial" w:cs="Arial"/>
              </w:rPr>
              <w:t xml:space="preserve">Specialist responsible for assessing if a patient is </w:t>
            </w:r>
            <w:r w:rsidR="005E0F91">
              <w:rPr>
                <w:rFonts w:ascii="Arial" w:hAnsi="Arial" w:cs="Arial"/>
              </w:rPr>
              <w:t xml:space="preserve">defined as </w:t>
            </w:r>
            <w:r>
              <w:rPr>
                <w:rFonts w:ascii="Arial" w:hAnsi="Arial" w:cs="Arial"/>
              </w:rPr>
              <w:t>‘high risk’ and communicating this to the GP</w:t>
            </w:r>
          </w:p>
        </w:tc>
      </w:tr>
      <w:tr w:rsidR="00FB69B6" w:rsidRPr="00AC2DCB" w:rsidTr="000109A6">
        <w:trPr>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AC2DCB" w:rsidRDefault="00FB69B6" w:rsidP="007472D6">
            <w:pPr>
              <w:rPr>
                <w:rFonts w:ascii="Arial" w:hAnsi="Arial" w:cs="Arial"/>
                <w:szCs w:val="24"/>
              </w:rPr>
            </w:pPr>
            <w:r w:rsidRPr="00AC2DCB">
              <w:rPr>
                <w:rFonts w:ascii="Arial" w:hAnsi="Arial" w:cs="Arial"/>
                <w:szCs w:val="24"/>
              </w:rPr>
              <w:t>GP Responsibilities</w:t>
            </w:r>
          </w:p>
          <w:p w:rsidR="00FB69B6" w:rsidRPr="00AC2DCB" w:rsidRDefault="00FB69B6" w:rsidP="007472D6">
            <w:pPr>
              <w:rPr>
                <w:rFonts w:ascii="Arial" w:hAnsi="Arial" w:cs="Arial"/>
                <w:szCs w:val="24"/>
              </w:rPr>
            </w:pPr>
          </w:p>
        </w:tc>
        <w:tc>
          <w:tcPr>
            <w:tcW w:w="3950" w:type="pct"/>
            <w:gridSpan w:val="2"/>
            <w:tcBorders>
              <w:top w:val="single" w:sz="6" w:space="0" w:color="auto"/>
              <w:left w:val="single" w:sz="6" w:space="0" w:color="auto"/>
              <w:bottom w:val="single" w:sz="6" w:space="0" w:color="auto"/>
              <w:right w:val="single" w:sz="6" w:space="0" w:color="auto"/>
            </w:tcBorders>
          </w:tcPr>
          <w:p w:rsidR="00FB69B6" w:rsidRPr="00AC2DCB" w:rsidRDefault="00FB69B6" w:rsidP="00FB69B6">
            <w:pPr>
              <w:pStyle w:val="ListParagraph"/>
              <w:numPr>
                <w:ilvl w:val="0"/>
                <w:numId w:val="44"/>
              </w:numPr>
              <w:rPr>
                <w:rFonts w:ascii="Arial" w:hAnsi="Arial" w:cs="Arial"/>
              </w:rPr>
            </w:pPr>
            <w:r w:rsidRPr="00AC2DCB">
              <w:rPr>
                <w:rFonts w:ascii="Arial" w:hAnsi="Arial" w:cs="Arial"/>
              </w:rPr>
              <w:t xml:space="preserve">The GP should reply to the request for shared care as soon as possible, but always within 14 days, either accepting shared care or informing the specialist why shared care is not felt appropriate in this case. </w:t>
            </w:r>
          </w:p>
          <w:p w:rsidR="00FB69B6" w:rsidRPr="00AC2DCB" w:rsidRDefault="00FB69B6" w:rsidP="00FB69B6">
            <w:pPr>
              <w:pStyle w:val="ListParagraph"/>
              <w:numPr>
                <w:ilvl w:val="0"/>
                <w:numId w:val="44"/>
              </w:numPr>
              <w:rPr>
                <w:rFonts w:ascii="Arial" w:hAnsi="Arial" w:cs="Arial"/>
              </w:rPr>
            </w:pPr>
            <w:r w:rsidRPr="00AC2DCB">
              <w:rPr>
                <w:rFonts w:ascii="Arial" w:hAnsi="Arial" w:cs="Arial"/>
              </w:rPr>
              <w:t>If GP declines shared care responsibilities it is still the GPs responsibility to record on the primary care record that the drug is being prescribed by secondary care</w:t>
            </w:r>
            <w:r w:rsidRPr="00AC2DCB">
              <w:rPr>
                <w:rFonts w:ascii="Arial" w:hAnsi="Arial" w:cs="Arial"/>
                <w:szCs w:val="24"/>
              </w:rPr>
              <w:t xml:space="preserve"> </w:t>
            </w:r>
          </w:p>
          <w:p w:rsidR="00FB69B6" w:rsidRPr="00AC2DCB" w:rsidRDefault="00FB69B6" w:rsidP="00FB69B6">
            <w:pPr>
              <w:pStyle w:val="ListParagraph"/>
              <w:numPr>
                <w:ilvl w:val="0"/>
                <w:numId w:val="44"/>
              </w:numPr>
              <w:rPr>
                <w:rFonts w:ascii="Arial" w:hAnsi="Arial" w:cs="Arial"/>
              </w:rPr>
            </w:pPr>
            <w:r w:rsidRPr="00AC2DCB">
              <w:rPr>
                <w:rFonts w:ascii="Arial" w:hAnsi="Arial" w:cs="Arial"/>
                <w:szCs w:val="24"/>
              </w:rPr>
              <w:t xml:space="preserve">Shared care to be initiated once patient </w:t>
            </w:r>
            <w:r w:rsidR="00CC7393">
              <w:rPr>
                <w:rFonts w:ascii="Arial" w:hAnsi="Arial" w:cs="Arial"/>
                <w:szCs w:val="24"/>
              </w:rPr>
              <w:t>is</w:t>
            </w:r>
            <w:r w:rsidRPr="00AC2DCB">
              <w:rPr>
                <w:rFonts w:ascii="Arial" w:hAnsi="Arial" w:cs="Arial"/>
                <w:szCs w:val="24"/>
              </w:rPr>
              <w:t xml:space="preserve"> stable </w:t>
            </w:r>
            <w:r w:rsidR="00CC7393">
              <w:rPr>
                <w:rFonts w:ascii="Arial" w:hAnsi="Arial" w:cs="Arial"/>
                <w:szCs w:val="24"/>
              </w:rPr>
              <w:t>and at least 3 months after initiation</w:t>
            </w:r>
          </w:p>
          <w:p w:rsidR="00FB69B6" w:rsidRPr="00AC2DCB" w:rsidRDefault="00FB69B6" w:rsidP="00FB69B6">
            <w:pPr>
              <w:pStyle w:val="ListParagraph"/>
              <w:numPr>
                <w:ilvl w:val="0"/>
                <w:numId w:val="44"/>
              </w:numPr>
              <w:rPr>
                <w:rFonts w:ascii="Arial" w:hAnsi="Arial" w:cs="Arial"/>
              </w:rPr>
            </w:pPr>
            <w:r w:rsidRPr="00AC2DCB">
              <w:rPr>
                <w:rFonts w:ascii="Arial" w:hAnsi="Arial" w:cs="Arial"/>
                <w:szCs w:val="24"/>
              </w:rPr>
              <w:t>Prescribe medication as per document</w:t>
            </w:r>
          </w:p>
          <w:p w:rsidR="00FB69B6" w:rsidRPr="00B0218A" w:rsidRDefault="00FB69B6" w:rsidP="00FB69B6">
            <w:pPr>
              <w:numPr>
                <w:ilvl w:val="0"/>
                <w:numId w:val="44"/>
              </w:numPr>
              <w:contextualSpacing/>
              <w:rPr>
                <w:rFonts w:ascii="Arial" w:hAnsi="Arial" w:cs="Arial"/>
                <w:b/>
              </w:rPr>
            </w:pPr>
            <w:r w:rsidRPr="00B0218A">
              <w:rPr>
                <w:rFonts w:ascii="Arial" w:hAnsi="Arial" w:cs="Arial"/>
                <w:b/>
              </w:rPr>
              <w:t xml:space="preserve">Conduct routine monitoring as per schedule while responsible for prescribing </w:t>
            </w:r>
          </w:p>
          <w:p w:rsidR="00FB69B6" w:rsidRPr="00AC2DCB" w:rsidRDefault="00FB69B6" w:rsidP="00FB69B6">
            <w:pPr>
              <w:numPr>
                <w:ilvl w:val="0"/>
                <w:numId w:val="44"/>
              </w:numPr>
              <w:contextualSpacing/>
              <w:rPr>
                <w:rFonts w:ascii="Arial" w:hAnsi="Arial" w:cs="Arial"/>
              </w:rPr>
            </w:pPr>
            <w:r w:rsidRPr="00AC2DCB">
              <w:rPr>
                <w:rFonts w:ascii="Arial" w:hAnsi="Arial" w:cs="Arial"/>
              </w:rPr>
              <w:t xml:space="preserve">Observe advice relating to vaccination, perioperative use, infections </w:t>
            </w:r>
            <w:proofErr w:type="spellStart"/>
            <w:r w:rsidRPr="00AC2DCB">
              <w:rPr>
                <w:rFonts w:ascii="Arial" w:hAnsi="Arial" w:cs="Arial"/>
              </w:rPr>
              <w:t>etc</w:t>
            </w:r>
            <w:proofErr w:type="spellEnd"/>
            <w:r w:rsidRPr="00AC2DCB">
              <w:rPr>
                <w:rFonts w:ascii="Arial" w:hAnsi="Arial" w:cs="Arial"/>
              </w:rPr>
              <w:t xml:space="preserve"> contained in this document</w:t>
            </w:r>
          </w:p>
        </w:tc>
      </w:tr>
      <w:tr w:rsidR="00FB69B6" w:rsidRPr="00410A7D" w:rsidTr="000109A6">
        <w:trPr>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bCs/>
                <w:szCs w:val="24"/>
              </w:rPr>
            </w:pPr>
            <w:r w:rsidRPr="00410A7D">
              <w:rPr>
                <w:rFonts w:ascii="Arial" w:hAnsi="Arial" w:cs="Arial"/>
                <w:bCs/>
                <w:szCs w:val="24"/>
              </w:rPr>
              <w:lastRenderedPageBreak/>
              <w:t>Contraindications,</w:t>
            </w:r>
          </w:p>
          <w:p w:rsidR="00FB69B6" w:rsidRPr="00410A7D" w:rsidRDefault="00FB69B6" w:rsidP="007472D6">
            <w:pPr>
              <w:rPr>
                <w:rFonts w:ascii="Arial" w:hAnsi="Arial" w:cs="Arial"/>
                <w:bCs/>
                <w:szCs w:val="24"/>
              </w:rPr>
            </w:pPr>
            <w:r w:rsidRPr="00410A7D">
              <w:rPr>
                <w:rFonts w:ascii="Arial" w:hAnsi="Arial" w:cs="Arial"/>
                <w:bCs/>
                <w:szCs w:val="24"/>
              </w:rPr>
              <w:t>Precautions and Adverse Effects</w:t>
            </w: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szCs w:val="24"/>
              </w:rPr>
            </w:pP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rPr>
                <w:rFonts w:ascii="Arial" w:hAnsi="Arial" w:cs="Arial"/>
                <w:b/>
                <w:szCs w:val="24"/>
              </w:rPr>
            </w:pPr>
            <w:r w:rsidRPr="00410A7D">
              <w:rPr>
                <w:rFonts w:ascii="Arial" w:hAnsi="Arial" w:cs="Arial"/>
                <w:b/>
                <w:szCs w:val="24"/>
              </w:rPr>
              <w:t>Contra-indications</w:t>
            </w:r>
          </w:p>
          <w:p w:rsidR="00FB69B6" w:rsidRPr="00410A7D" w:rsidRDefault="00FB69B6" w:rsidP="007472D6">
            <w:pPr>
              <w:rPr>
                <w:rFonts w:ascii="Arial" w:hAnsi="Arial" w:cs="Arial"/>
                <w:szCs w:val="24"/>
              </w:rPr>
            </w:pPr>
            <w:r w:rsidRPr="00410A7D">
              <w:rPr>
                <w:rFonts w:ascii="Arial" w:hAnsi="Arial" w:cs="Arial"/>
                <w:szCs w:val="24"/>
              </w:rPr>
              <w:t>Known hypersensitivity to the product</w:t>
            </w:r>
          </w:p>
          <w:p w:rsidR="00FB69B6" w:rsidRPr="00410A7D" w:rsidRDefault="00FB69B6" w:rsidP="007472D6">
            <w:pPr>
              <w:rPr>
                <w:rFonts w:ascii="Arial" w:hAnsi="Arial" w:cs="Arial"/>
                <w:szCs w:val="24"/>
              </w:rPr>
            </w:pPr>
            <w:r w:rsidRPr="00410A7D">
              <w:rPr>
                <w:rFonts w:ascii="Arial" w:hAnsi="Arial" w:cs="Arial"/>
                <w:szCs w:val="24"/>
              </w:rPr>
              <w:t>Suspected local or systemic infection</w:t>
            </w:r>
          </w:p>
          <w:p w:rsidR="00FB69B6" w:rsidRPr="00410A7D" w:rsidRDefault="00FB69B6" w:rsidP="007472D6">
            <w:pPr>
              <w:rPr>
                <w:rFonts w:ascii="Arial" w:hAnsi="Arial" w:cs="Arial"/>
                <w:szCs w:val="24"/>
              </w:rPr>
            </w:pPr>
            <w:r w:rsidRPr="00410A7D">
              <w:rPr>
                <w:rFonts w:ascii="Arial" w:hAnsi="Arial" w:cs="Arial"/>
                <w:szCs w:val="24"/>
              </w:rPr>
              <w:t xml:space="preserve">Pregnancy and breast feeding </w:t>
            </w:r>
          </w:p>
          <w:p w:rsidR="00FB69B6" w:rsidRPr="00410A7D" w:rsidRDefault="00FB69B6" w:rsidP="007472D6">
            <w:pPr>
              <w:rPr>
                <w:rFonts w:ascii="Arial" w:hAnsi="Arial" w:cs="Arial"/>
                <w:szCs w:val="24"/>
              </w:rPr>
            </w:pPr>
            <w:r w:rsidRPr="00410A7D">
              <w:rPr>
                <w:rFonts w:ascii="Arial" w:hAnsi="Arial" w:cs="Arial"/>
                <w:szCs w:val="24"/>
              </w:rPr>
              <w:t>Bone marrow failure, with unexplained anaemia and cytopenia</w:t>
            </w:r>
          </w:p>
          <w:p w:rsidR="00FB69B6" w:rsidRPr="00410A7D" w:rsidRDefault="00FB69B6" w:rsidP="007472D6">
            <w:pPr>
              <w:rPr>
                <w:rFonts w:ascii="Arial" w:hAnsi="Arial" w:cs="Arial"/>
                <w:szCs w:val="24"/>
              </w:rPr>
            </w:pPr>
            <w:r w:rsidRPr="00410A7D">
              <w:rPr>
                <w:rFonts w:ascii="Arial" w:hAnsi="Arial" w:cs="Arial"/>
                <w:szCs w:val="24"/>
              </w:rPr>
              <w:t>Alcohol abuse</w:t>
            </w:r>
          </w:p>
          <w:p w:rsidR="00FB69B6" w:rsidRPr="00410A7D" w:rsidRDefault="00FB69B6" w:rsidP="007472D6">
            <w:pPr>
              <w:rPr>
                <w:rFonts w:ascii="Arial" w:hAnsi="Arial" w:cs="Arial"/>
              </w:rPr>
            </w:pPr>
            <w:r w:rsidRPr="00410A7D">
              <w:rPr>
                <w:rFonts w:ascii="Arial" w:hAnsi="Arial" w:cs="Arial"/>
              </w:rPr>
              <w:t>Significant liver impairment/disease</w:t>
            </w:r>
          </w:p>
          <w:p w:rsidR="00FB69B6" w:rsidRPr="00410A7D" w:rsidRDefault="00FB69B6" w:rsidP="007472D6">
            <w:pPr>
              <w:rPr>
                <w:rFonts w:ascii="Arial" w:hAnsi="Arial" w:cs="Arial"/>
              </w:rPr>
            </w:pPr>
          </w:p>
          <w:p w:rsidR="00FB69B6" w:rsidRPr="00410A7D" w:rsidRDefault="00FB69B6" w:rsidP="007472D6">
            <w:pPr>
              <w:rPr>
                <w:rFonts w:ascii="Arial" w:hAnsi="Arial" w:cs="Arial"/>
                <w:b/>
                <w:szCs w:val="24"/>
              </w:rPr>
            </w:pPr>
            <w:r w:rsidRPr="00410A7D">
              <w:rPr>
                <w:rFonts w:ascii="Arial" w:hAnsi="Arial" w:cs="Arial"/>
                <w:b/>
              </w:rPr>
              <w:t>Precautions</w:t>
            </w:r>
          </w:p>
          <w:p w:rsidR="00FB69B6" w:rsidRPr="00410A7D" w:rsidRDefault="00FB69B6" w:rsidP="007472D6">
            <w:pPr>
              <w:rPr>
                <w:rFonts w:ascii="Arial" w:eastAsia="Cambria" w:hAnsi="Arial" w:cs="Arial"/>
                <w:i/>
              </w:rPr>
            </w:pPr>
            <w:r w:rsidRPr="00410A7D">
              <w:rPr>
                <w:rFonts w:ascii="Arial" w:eastAsia="Cambria" w:hAnsi="Arial" w:cs="Arial"/>
                <w:i/>
              </w:rPr>
              <w:t>Chronic kidney disease (CKD)</w:t>
            </w:r>
          </w:p>
          <w:p w:rsidR="00FB69B6" w:rsidRPr="00410A7D" w:rsidRDefault="00FB69B6" w:rsidP="007472D6">
            <w:pPr>
              <w:rPr>
                <w:rFonts w:ascii="Arial" w:eastAsia="Cambria" w:hAnsi="Arial" w:cs="Arial"/>
              </w:rPr>
            </w:pPr>
            <w:r w:rsidRPr="00410A7D">
              <w:rPr>
                <w:rFonts w:ascii="Arial" w:eastAsia="Cambria" w:hAnsi="Arial" w:cs="Arial"/>
              </w:rPr>
              <w:t xml:space="preserve">In renal disease, IAs that are renally excreted accumulate, and some IAs are nephrotoxic. Patients with CKD should be graded as per NICE definition of CKD (table 1) and have IA dose reductions as per recommendations by the British Society of Rheumatology (BSR) (table 2). </w:t>
            </w:r>
          </w:p>
          <w:p w:rsidR="00FB69B6" w:rsidRPr="00927E9C" w:rsidRDefault="00FB69B6" w:rsidP="007472D6">
            <w:pPr>
              <w:rPr>
                <w:rFonts w:ascii="Arial" w:eastAsia="Cambria" w:hAnsi="Arial" w:cs="Arial"/>
                <w:b/>
                <w:sz w:val="22"/>
              </w:rPr>
            </w:pPr>
            <w:r w:rsidRPr="00927E9C">
              <w:rPr>
                <w:rFonts w:ascii="Arial" w:eastAsia="Cambria" w:hAnsi="Arial" w:cs="Arial"/>
                <w:b/>
                <w:sz w:val="22"/>
              </w:rPr>
              <w:t>Table 1: NICE Definitions of CKD</w:t>
            </w:r>
          </w:p>
          <w:tbl>
            <w:tblPr>
              <w:tblStyle w:val="TableGrid"/>
              <w:tblW w:w="8218" w:type="dxa"/>
              <w:tblLayout w:type="fixed"/>
              <w:tblLook w:val="04A0" w:firstRow="1" w:lastRow="0" w:firstColumn="1" w:lastColumn="0" w:noHBand="0" w:noVBand="1"/>
            </w:tblPr>
            <w:tblGrid>
              <w:gridCol w:w="4109"/>
              <w:gridCol w:w="4109"/>
            </w:tblGrid>
            <w:tr w:rsidR="00FB69B6" w:rsidRPr="00410A7D" w:rsidTr="007472D6">
              <w:tc>
                <w:tcPr>
                  <w:tcW w:w="4109" w:type="dxa"/>
                </w:tcPr>
                <w:p w:rsidR="00FB69B6" w:rsidRPr="00410A7D" w:rsidRDefault="00FB69B6" w:rsidP="007472D6">
                  <w:pPr>
                    <w:rPr>
                      <w:rFonts w:ascii="Arial" w:eastAsia="Calibri" w:hAnsi="Arial" w:cs="Arial"/>
                      <w:b/>
                      <w:sz w:val="22"/>
                      <w:lang w:eastAsia="en-GB"/>
                    </w:rPr>
                  </w:pPr>
                  <w:r w:rsidRPr="00410A7D">
                    <w:rPr>
                      <w:rFonts w:ascii="Arial" w:eastAsia="Calibri" w:hAnsi="Arial" w:cs="Arial"/>
                      <w:b/>
                      <w:sz w:val="22"/>
                      <w:lang w:eastAsia="en-GB"/>
                    </w:rPr>
                    <w:t>Degree of Impairment</w:t>
                  </w:r>
                </w:p>
              </w:tc>
              <w:tc>
                <w:tcPr>
                  <w:tcW w:w="4109" w:type="dxa"/>
                </w:tcPr>
                <w:p w:rsidR="00FB69B6" w:rsidRPr="00410A7D" w:rsidRDefault="00FB69B6" w:rsidP="007472D6">
                  <w:pPr>
                    <w:rPr>
                      <w:rFonts w:ascii="Arial" w:eastAsia="Calibri" w:hAnsi="Arial" w:cs="Arial"/>
                      <w:b/>
                      <w:sz w:val="22"/>
                      <w:lang w:eastAsia="en-GB"/>
                    </w:rPr>
                  </w:pPr>
                  <w:r w:rsidRPr="00410A7D">
                    <w:rPr>
                      <w:rFonts w:ascii="Arial" w:eastAsia="Calibri" w:hAnsi="Arial" w:cs="Arial"/>
                      <w:b/>
                      <w:sz w:val="22"/>
                      <w:lang w:eastAsia="en-GB"/>
                    </w:rPr>
                    <w:t>Calculated GFR ml/min/1.73m2</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Normal, Stage I</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&gt;90 (other evidence of kidney damage)</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Mild, Stage II</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60-89 (other evidence of kidney damage)</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Moderate, Stage III</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30-59</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Severe, Stage IV</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15-29</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 xml:space="preserve">Established renal failure, Stage V </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&lt;15</w:t>
                  </w:r>
                </w:p>
              </w:tc>
            </w:tr>
          </w:tbl>
          <w:p w:rsidR="00FB69B6" w:rsidRDefault="00FB69B6" w:rsidP="007472D6">
            <w:pPr>
              <w:rPr>
                <w:rFonts w:ascii="Arial" w:eastAsia="Cambria" w:hAnsi="Arial" w:cs="Arial"/>
                <w:sz w:val="20"/>
              </w:rPr>
            </w:pPr>
          </w:p>
          <w:p w:rsidR="00FB69B6" w:rsidRPr="00927E9C" w:rsidRDefault="00FB69B6" w:rsidP="007472D6">
            <w:pPr>
              <w:rPr>
                <w:rFonts w:ascii="Arial" w:eastAsia="Cambria" w:hAnsi="Arial" w:cs="Arial"/>
                <w:b/>
                <w:sz w:val="22"/>
              </w:rPr>
            </w:pPr>
            <w:r w:rsidRPr="00927E9C">
              <w:rPr>
                <w:rFonts w:ascii="Arial" w:eastAsia="Cambria" w:hAnsi="Arial" w:cs="Arial"/>
                <w:b/>
                <w:sz w:val="22"/>
              </w:rPr>
              <w:t>Table 2: Recommended dose adjustment in CKD by the BSR</w:t>
            </w:r>
          </w:p>
          <w:tbl>
            <w:tblPr>
              <w:tblStyle w:val="TableGrid"/>
              <w:tblW w:w="0" w:type="auto"/>
              <w:tblLayout w:type="fixed"/>
              <w:tblLook w:val="04A0" w:firstRow="1" w:lastRow="0" w:firstColumn="1" w:lastColumn="0" w:noHBand="0" w:noVBand="1"/>
            </w:tblPr>
            <w:tblGrid>
              <w:gridCol w:w="1589"/>
              <w:gridCol w:w="1559"/>
              <w:gridCol w:w="1417"/>
              <w:gridCol w:w="1418"/>
              <w:gridCol w:w="992"/>
              <w:gridCol w:w="992"/>
            </w:tblGrid>
            <w:tr w:rsidR="00FB69B6" w:rsidRPr="00410A7D" w:rsidTr="007472D6">
              <w:tc>
                <w:tcPr>
                  <w:tcW w:w="4565" w:type="dxa"/>
                  <w:gridSpan w:val="3"/>
                </w:tcPr>
                <w:p w:rsidR="00FB69B6" w:rsidRPr="00410A7D" w:rsidRDefault="00FB69B6" w:rsidP="007472D6">
                  <w:pPr>
                    <w:rPr>
                      <w:rFonts w:ascii="Arial" w:eastAsia="Cambria" w:hAnsi="Arial" w:cs="Arial"/>
                      <w:sz w:val="20"/>
                    </w:rPr>
                  </w:pPr>
                </w:p>
              </w:tc>
              <w:tc>
                <w:tcPr>
                  <w:tcW w:w="3402" w:type="dxa"/>
                  <w:gridSpan w:val="3"/>
                </w:tcPr>
                <w:p w:rsidR="00FB69B6" w:rsidRPr="00410A7D" w:rsidRDefault="00FB69B6" w:rsidP="007472D6">
                  <w:pPr>
                    <w:rPr>
                      <w:rFonts w:ascii="Arial" w:eastAsia="Cambria" w:hAnsi="Arial" w:cs="Arial"/>
                      <w:sz w:val="20"/>
                    </w:rPr>
                  </w:pPr>
                  <w:r w:rsidRPr="00410A7D">
                    <w:rPr>
                      <w:rFonts w:ascii="Arial" w:eastAsia="Cambria" w:hAnsi="Arial" w:cs="Arial"/>
                      <w:sz w:val="20"/>
                    </w:rPr>
                    <w:t>Recommended adjustment</w:t>
                  </w:r>
                </w:p>
                <w:p w:rsidR="00FB69B6" w:rsidRPr="00410A7D" w:rsidRDefault="00FB69B6" w:rsidP="007472D6">
                  <w:pPr>
                    <w:rPr>
                      <w:rFonts w:ascii="Arial" w:eastAsia="Cambria" w:hAnsi="Arial" w:cs="Arial"/>
                      <w:sz w:val="20"/>
                    </w:rPr>
                  </w:pPr>
                  <w:r w:rsidRPr="00410A7D">
                    <w:rPr>
                      <w:rFonts w:ascii="Arial" w:eastAsia="Cambria" w:hAnsi="Arial" w:cs="Arial"/>
                      <w:sz w:val="20"/>
                    </w:rPr>
                    <w:t>(% of standard dose)</w:t>
                  </w:r>
                </w:p>
              </w:tc>
            </w:tr>
            <w:tr w:rsidR="00FB69B6" w:rsidRPr="00410A7D" w:rsidTr="007472D6">
              <w:tc>
                <w:tcPr>
                  <w:tcW w:w="1589" w:type="dxa"/>
                </w:tcPr>
                <w:p w:rsidR="00FB69B6" w:rsidRPr="00410A7D" w:rsidRDefault="00FB69B6" w:rsidP="007472D6">
                  <w:pPr>
                    <w:rPr>
                      <w:rFonts w:ascii="Arial" w:eastAsia="Calibri" w:hAnsi="Arial" w:cs="Arial"/>
                      <w:sz w:val="20"/>
                      <w:lang w:eastAsia="en-GB"/>
                    </w:rPr>
                  </w:pPr>
                  <w:r w:rsidRPr="00410A7D">
                    <w:rPr>
                      <w:rFonts w:ascii="Arial" w:eastAsia="Calibri" w:hAnsi="Arial" w:cs="Arial"/>
                      <w:sz w:val="20"/>
                      <w:lang w:eastAsia="en-GB"/>
                    </w:rPr>
                    <w:t>Drug</w:t>
                  </w:r>
                </w:p>
              </w:tc>
              <w:tc>
                <w:tcPr>
                  <w:tcW w:w="1559"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Accumulates in renal failure</w:t>
                  </w:r>
                </w:p>
              </w:tc>
              <w:tc>
                <w:tcPr>
                  <w:tcW w:w="1417"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Nephrotoxic</w:t>
                  </w:r>
                </w:p>
              </w:tc>
              <w:tc>
                <w:tcPr>
                  <w:tcW w:w="1418"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CKD III</w:t>
                  </w:r>
                </w:p>
              </w:tc>
              <w:tc>
                <w:tcPr>
                  <w:tcW w:w="992"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CKD IV</w:t>
                  </w:r>
                </w:p>
              </w:tc>
              <w:tc>
                <w:tcPr>
                  <w:tcW w:w="992" w:type="dxa"/>
                  <w:vAlign w:val="center"/>
                </w:tcPr>
                <w:p w:rsidR="00FB69B6" w:rsidRPr="00410A7D" w:rsidRDefault="00FB69B6" w:rsidP="007472D6">
                  <w:pPr>
                    <w:jc w:val="center"/>
                    <w:rPr>
                      <w:rFonts w:ascii="Arial" w:eastAsia="Cambria" w:hAnsi="Arial" w:cs="Arial"/>
                      <w:sz w:val="20"/>
                    </w:rPr>
                  </w:pPr>
                  <w:r w:rsidRPr="00410A7D">
                    <w:rPr>
                      <w:rFonts w:ascii="Arial" w:eastAsia="Cambria" w:hAnsi="Arial" w:cs="Arial"/>
                      <w:sz w:val="20"/>
                    </w:rPr>
                    <w:t>CKD V</w:t>
                  </w:r>
                </w:p>
              </w:tc>
            </w:tr>
            <w:tr w:rsidR="00FB69B6" w:rsidRPr="00410A7D" w:rsidTr="007472D6">
              <w:tc>
                <w:tcPr>
                  <w:tcW w:w="1589" w:type="dxa"/>
                </w:tcPr>
                <w:p w:rsidR="00FB69B6" w:rsidRPr="00410A7D" w:rsidRDefault="00FB69B6" w:rsidP="007472D6">
                  <w:pPr>
                    <w:rPr>
                      <w:rFonts w:ascii="Arial" w:eastAsia="Calibri" w:hAnsi="Arial" w:cs="Arial"/>
                      <w:sz w:val="20"/>
                      <w:lang w:eastAsia="en-GB"/>
                    </w:rPr>
                  </w:pPr>
                  <w:r w:rsidRPr="00410A7D">
                    <w:rPr>
                      <w:rFonts w:ascii="Arial" w:eastAsia="Calibri" w:hAnsi="Arial" w:cs="Arial"/>
                      <w:sz w:val="20"/>
                      <w:lang w:eastAsia="en-GB"/>
                    </w:rPr>
                    <w:t>Azathioprine</w:t>
                  </w:r>
                </w:p>
              </w:tc>
              <w:tc>
                <w:tcPr>
                  <w:tcW w:w="1559"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7"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8"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Normal dose</w:t>
                  </w:r>
                </w:p>
              </w:tc>
              <w:tc>
                <w:tcPr>
                  <w:tcW w:w="992"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75-100</w:t>
                  </w:r>
                </w:p>
              </w:tc>
              <w:tc>
                <w:tcPr>
                  <w:tcW w:w="992"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50-100</w:t>
                  </w:r>
                </w:p>
              </w:tc>
            </w:tr>
            <w:tr w:rsidR="00FB69B6" w:rsidRPr="00410A7D" w:rsidTr="007472D6">
              <w:tc>
                <w:tcPr>
                  <w:tcW w:w="1589" w:type="dxa"/>
                </w:tcPr>
                <w:p w:rsidR="00FB69B6" w:rsidRPr="00410A7D" w:rsidRDefault="00FB69B6" w:rsidP="007472D6">
                  <w:pPr>
                    <w:rPr>
                      <w:rFonts w:ascii="Arial" w:eastAsia="Calibri" w:hAnsi="Arial" w:cs="Arial"/>
                      <w:sz w:val="20"/>
                      <w:lang w:eastAsia="en-GB"/>
                    </w:rPr>
                  </w:pPr>
                  <w:r w:rsidRPr="00410A7D">
                    <w:rPr>
                      <w:rFonts w:ascii="Arial" w:eastAsia="Calibri" w:hAnsi="Arial" w:cs="Arial"/>
                      <w:sz w:val="20"/>
                      <w:lang w:eastAsia="en-GB"/>
                    </w:rPr>
                    <w:t>Methotrexate</w:t>
                  </w:r>
                </w:p>
              </w:tc>
              <w:tc>
                <w:tcPr>
                  <w:tcW w:w="1559"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Yes</w:t>
                  </w:r>
                </w:p>
              </w:tc>
              <w:tc>
                <w:tcPr>
                  <w:tcW w:w="1417"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Yes</w:t>
                  </w:r>
                </w:p>
              </w:tc>
              <w:tc>
                <w:tcPr>
                  <w:tcW w:w="1418"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50%</w:t>
                  </w:r>
                </w:p>
              </w:tc>
              <w:tc>
                <w:tcPr>
                  <w:tcW w:w="1984" w:type="dxa"/>
                  <w:gridSpan w:val="2"/>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Contraindicated</w:t>
                  </w:r>
                </w:p>
              </w:tc>
            </w:tr>
            <w:tr w:rsidR="00FB69B6" w:rsidRPr="00410A7D" w:rsidTr="007472D6">
              <w:tc>
                <w:tcPr>
                  <w:tcW w:w="1589" w:type="dxa"/>
                </w:tcPr>
                <w:p w:rsidR="00FB69B6" w:rsidRPr="00410A7D" w:rsidRDefault="00FB69B6" w:rsidP="007472D6">
                  <w:pPr>
                    <w:rPr>
                      <w:rFonts w:ascii="Arial" w:eastAsia="Calibri" w:hAnsi="Arial" w:cs="Arial"/>
                      <w:sz w:val="20"/>
                      <w:lang w:eastAsia="en-GB"/>
                    </w:rPr>
                  </w:pPr>
                  <w:r w:rsidRPr="00410A7D">
                    <w:rPr>
                      <w:rFonts w:ascii="Arial" w:eastAsia="Calibri" w:hAnsi="Arial" w:cs="Arial"/>
                      <w:sz w:val="20"/>
                      <w:lang w:eastAsia="en-GB"/>
                    </w:rPr>
                    <w:t>Mycophenolate</w:t>
                  </w:r>
                </w:p>
              </w:tc>
              <w:tc>
                <w:tcPr>
                  <w:tcW w:w="1559"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Yes</w:t>
                  </w:r>
                </w:p>
              </w:tc>
              <w:tc>
                <w:tcPr>
                  <w:tcW w:w="1417"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8"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Normal dose</w:t>
                  </w:r>
                </w:p>
              </w:tc>
              <w:tc>
                <w:tcPr>
                  <w:tcW w:w="1984" w:type="dxa"/>
                  <w:gridSpan w:val="2"/>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1g BD maximum</w:t>
                  </w:r>
                </w:p>
              </w:tc>
            </w:tr>
          </w:tbl>
          <w:p w:rsidR="00FB69B6" w:rsidRPr="00410A7D" w:rsidRDefault="00FB69B6" w:rsidP="007472D6">
            <w:pPr>
              <w:rPr>
                <w:rFonts w:ascii="Arial" w:hAnsi="Arial" w:cs="Arial"/>
                <w:szCs w:val="24"/>
                <w:u w:val="single"/>
              </w:rPr>
            </w:pPr>
          </w:p>
          <w:p w:rsidR="00FB69B6" w:rsidRPr="00410A7D" w:rsidRDefault="00FB69B6" w:rsidP="007472D6">
            <w:pPr>
              <w:rPr>
                <w:rFonts w:ascii="Arial" w:hAnsi="Arial" w:cs="Arial"/>
                <w:b/>
                <w:szCs w:val="24"/>
              </w:rPr>
            </w:pPr>
            <w:r w:rsidRPr="00410A7D">
              <w:rPr>
                <w:rFonts w:ascii="Arial" w:hAnsi="Arial" w:cs="Arial"/>
                <w:b/>
                <w:szCs w:val="24"/>
              </w:rPr>
              <w:t>Adverse Effects</w:t>
            </w:r>
          </w:p>
          <w:p w:rsidR="00FB69B6" w:rsidRPr="00410A7D" w:rsidRDefault="00FB69B6" w:rsidP="007472D6">
            <w:pPr>
              <w:rPr>
                <w:rFonts w:ascii="Arial" w:hAnsi="Arial" w:cs="Arial"/>
                <w:szCs w:val="24"/>
              </w:rPr>
            </w:pPr>
            <w:r w:rsidRPr="00410A7D">
              <w:rPr>
                <w:rFonts w:ascii="Arial" w:hAnsi="Arial" w:cs="Arial"/>
                <w:szCs w:val="24"/>
              </w:rPr>
              <w:t xml:space="preserve">Nausea, diarrhoea, stomatitis, oral ulcers, leucopenia, thombocytopenia, pulmonary fibrosis, GI ulceration, alopecia, erythematous skin reactions, and suppression of ovarian and testicular function. Megaloblastic anaemia has been reported. Hepatic impairment may occur through prolonged use (elevated transaminases is a common adverse effect).  </w:t>
            </w:r>
          </w:p>
          <w:p w:rsidR="00F57129" w:rsidRDefault="00F57129" w:rsidP="00F57129">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adverse effects</w:t>
            </w:r>
            <w:r w:rsidRPr="00026B6F">
              <w:rPr>
                <w:rFonts w:ascii="Arial" w:hAnsi="Arial" w:cs="Arial"/>
                <w:b/>
                <w:szCs w:val="24"/>
              </w:rPr>
              <w:t xml:space="preserve"> please consult either the current BNF or SPC</w:t>
            </w:r>
            <w:r>
              <w:rPr>
                <w:rFonts w:ascii="Arial" w:hAnsi="Arial" w:cs="Arial"/>
                <w:b/>
                <w:szCs w:val="24"/>
              </w:rPr>
              <w:t xml:space="preserve">: </w:t>
            </w:r>
          </w:p>
          <w:p w:rsidR="00F57129" w:rsidRDefault="00B5077D" w:rsidP="00F57129">
            <w:pPr>
              <w:rPr>
                <w:rFonts w:ascii="Arial" w:hAnsi="Arial" w:cs="Arial"/>
                <w:b/>
                <w:szCs w:val="24"/>
              </w:rPr>
            </w:pPr>
            <w:hyperlink r:id="rId10" w:history="1">
              <w:r w:rsidR="00F57129" w:rsidRPr="00F70CE1">
                <w:rPr>
                  <w:rStyle w:val="Hyperlink"/>
                  <w:rFonts w:ascii="Arial" w:hAnsi="Arial" w:cs="Arial"/>
                  <w:b/>
                  <w:szCs w:val="24"/>
                </w:rPr>
                <w:t>https://bnf.nice.org.uk/</w:t>
              </w:r>
            </w:hyperlink>
            <w:r w:rsidR="00F57129">
              <w:rPr>
                <w:rFonts w:ascii="Arial" w:hAnsi="Arial" w:cs="Arial"/>
                <w:b/>
                <w:szCs w:val="24"/>
              </w:rPr>
              <w:t xml:space="preserve"> </w:t>
            </w:r>
          </w:p>
          <w:p w:rsidR="00FB69B6" w:rsidRPr="00410A7D" w:rsidRDefault="00B5077D" w:rsidP="00F57129">
            <w:pPr>
              <w:rPr>
                <w:rFonts w:ascii="Arial" w:hAnsi="Arial" w:cs="Arial"/>
                <w:i/>
                <w:szCs w:val="24"/>
              </w:rPr>
            </w:pPr>
            <w:hyperlink r:id="rId11" w:history="1">
              <w:r w:rsidR="00F57129" w:rsidRPr="00F70CE1">
                <w:rPr>
                  <w:rStyle w:val="Hyperlink"/>
                  <w:rFonts w:ascii="Arial" w:hAnsi="Arial" w:cs="Arial"/>
                  <w:b/>
                  <w:szCs w:val="24"/>
                </w:rPr>
                <w:t>https://www.medicines.org.uk/emc</w:t>
              </w:r>
            </w:hyperlink>
          </w:p>
        </w:tc>
      </w:tr>
      <w:tr w:rsidR="00FB69B6" w:rsidRPr="00410A7D" w:rsidTr="000109A6">
        <w:trPr>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FB69B6" w:rsidRPr="00410A7D" w:rsidRDefault="00FB69B6" w:rsidP="007472D6">
            <w:pPr>
              <w:rPr>
                <w:rFonts w:ascii="Arial" w:hAnsi="Arial" w:cs="Arial"/>
                <w:szCs w:val="24"/>
              </w:rPr>
            </w:pPr>
            <w:r w:rsidRPr="00410A7D">
              <w:rPr>
                <w:rFonts w:ascii="Arial" w:hAnsi="Arial" w:cs="Arial"/>
                <w:szCs w:val="24"/>
                <w:lang w:eastAsia="en-GB"/>
              </w:rPr>
              <w:t>Common Drug Interactions</w:t>
            </w: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rPr>
                <w:rFonts w:ascii="Arial" w:hAnsi="Arial" w:cs="Arial"/>
                <w:b/>
                <w:szCs w:val="24"/>
              </w:rPr>
            </w:pPr>
            <w:r w:rsidRPr="00410A7D">
              <w:rPr>
                <w:rFonts w:ascii="Arial" w:hAnsi="Arial" w:cs="Arial"/>
                <w:b/>
                <w:szCs w:val="24"/>
              </w:rPr>
              <w:t>Interactions:</w:t>
            </w:r>
          </w:p>
          <w:p w:rsidR="00FB69B6" w:rsidRPr="00410A7D" w:rsidRDefault="00FB69B6" w:rsidP="00FB69B6">
            <w:pPr>
              <w:pStyle w:val="ListParagraph"/>
              <w:numPr>
                <w:ilvl w:val="0"/>
                <w:numId w:val="42"/>
              </w:numPr>
              <w:rPr>
                <w:rFonts w:ascii="Arial" w:hAnsi="Arial" w:cs="Arial"/>
                <w:b/>
                <w:szCs w:val="24"/>
              </w:rPr>
            </w:pPr>
            <w:r w:rsidRPr="00410A7D">
              <w:rPr>
                <w:rFonts w:ascii="Arial" w:hAnsi="Arial" w:cs="Arial"/>
                <w:b/>
                <w:szCs w:val="24"/>
              </w:rPr>
              <w:t xml:space="preserve">Never prescribe co-trimoxazole and trimethoprim.  </w:t>
            </w:r>
          </w:p>
          <w:p w:rsidR="00FB69B6" w:rsidRPr="00410A7D" w:rsidRDefault="00FB69B6" w:rsidP="00FB69B6">
            <w:pPr>
              <w:pStyle w:val="ListParagraph"/>
              <w:numPr>
                <w:ilvl w:val="0"/>
                <w:numId w:val="42"/>
              </w:numPr>
              <w:rPr>
                <w:rFonts w:ascii="Arial" w:hAnsi="Arial" w:cs="Arial"/>
                <w:szCs w:val="24"/>
              </w:rPr>
            </w:pPr>
            <w:r w:rsidRPr="00410A7D">
              <w:rPr>
                <w:rFonts w:ascii="Arial" w:hAnsi="Arial" w:cs="Arial"/>
                <w:szCs w:val="24"/>
              </w:rPr>
              <w:t xml:space="preserve">Caution with penicillins. </w:t>
            </w:r>
          </w:p>
          <w:p w:rsidR="00FB69B6" w:rsidRPr="00410A7D" w:rsidRDefault="00FB69B6" w:rsidP="00FB69B6">
            <w:pPr>
              <w:pStyle w:val="ListParagraph"/>
              <w:numPr>
                <w:ilvl w:val="0"/>
                <w:numId w:val="42"/>
              </w:numPr>
              <w:rPr>
                <w:rFonts w:ascii="Arial" w:hAnsi="Arial" w:cs="Arial"/>
                <w:szCs w:val="24"/>
              </w:rPr>
            </w:pPr>
            <w:r w:rsidRPr="00410A7D">
              <w:rPr>
                <w:rFonts w:ascii="Arial" w:hAnsi="Arial" w:cs="Arial"/>
                <w:szCs w:val="24"/>
              </w:rPr>
              <w:t>Ciprofloxacin — potentially increases the risk of toxicity when given with methotrexate.</w:t>
            </w:r>
          </w:p>
          <w:p w:rsidR="00FB69B6" w:rsidRPr="00410A7D" w:rsidRDefault="00FB69B6" w:rsidP="00FB69B6">
            <w:pPr>
              <w:pStyle w:val="ListParagraph"/>
              <w:numPr>
                <w:ilvl w:val="0"/>
                <w:numId w:val="42"/>
              </w:numPr>
              <w:rPr>
                <w:rFonts w:ascii="Arial" w:hAnsi="Arial" w:cs="Arial"/>
                <w:szCs w:val="24"/>
              </w:rPr>
            </w:pPr>
            <w:r w:rsidRPr="00410A7D">
              <w:rPr>
                <w:rFonts w:ascii="Arial" w:hAnsi="Arial" w:cs="Arial"/>
                <w:szCs w:val="24"/>
              </w:rPr>
              <w:t>Alcohol may be consumed in moderation, on average one unit per day but avoid binge drinking</w:t>
            </w:r>
          </w:p>
          <w:p w:rsidR="00FB69B6" w:rsidRPr="00410A7D" w:rsidRDefault="00FB69B6" w:rsidP="00FB69B6">
            <w:pPr>
              <w:pStyle w:val="ListParagraph"/>
              <w:numPr>
                <w:ilvl w:val="0"/>
                <w:numId w:val="42"/>
              </w:numPr>
              <w:rPr>
                <w:rFonts w:ascii="Arial" w:hAnsi="Arial" w:cs="Arial"/>
                <w:szCs w:val="24"/>
              </w:rPr>
            </w:pPr>
            <w:r w:rsidRPr="00410A7D">
              <w:rPr>
                <w:rFonts w:ascii="Arial" w:hAnsi="Arial" w:cs="Arial"/>
                <w:szCs w:val="24"/>
              </w:rPr>
              <w:t xml:space="preserve">Aspirin and NSAIDs – reduced methotrexate excretion. Clinically significant interaction with NSAIDs is rare, continue standard doses </w:t>
            </w:r>
            <w:r w:rsidRPr="00410A7D">
              <w:rPr>
                <w:rFonts w:ascii="Arial" w:hAnsi="Arial" w:cs="Arial"/>
                <w:szCs w:val="24"/>
              </w:rPr>
              <w:lastRenderedPageBreak/>
              <w:t>advised by specialist, but patients should be advised to avoid self-medication with over the counter aspirin or ibuprofen. Low dose aspirin can be continued.</w:t>
            </w:r>
          </w:p>
          <w:p w:rsidR="00A83A4D" w:rsidRDefault="00A83A4D" w:rsidP="00A83A4D">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interactions</w:t>
            </w:r>
            <w:r w:rsidRPr="00026B6F">
              <w:rPr>
                <w:rFonts w:ascii="Arial" w:hAnsi="Arial" w:cs="Arial"/>
                <w:b/>
                <w:szCs w:val="24"/>
              </w:rPr>
              <w:t xml:space="preserve"> please consult either the current BNF or SPC</w:t>
            </w:r>
            <w:r>
              <w:rPr>
                <w:rFonts w:ascii="Arial" w:hAnsi="Arial" w:cs="Arial"/>
                <w:b/>
                <w:szCs w:val="24"/>
              </w:rPr>
              <w:t xml:space="preserve">: </w:t>
            </w:r>
          </w:p>
          <w:p w:rsidR="00A83A4D" w:rsidRDefault="00B5077D" w:rsidP="00A83A4D">
            <w:pPr>
              <w:rPr>
                <w:rFonts w:ascii="Arial" w:hAnsi="Arial" w:cs="Arial"/>
                <w:b/>
                <w:szCs w:val="24"/>
              </w:rPr>
            </w:pPr>
            <w:hyperlink r:id="rId12" w:history="1">
              <w:r w:rsidR="00A83A4D" w:rsidRPr="00F70CE1">
                <w:rPr>
                  <w:rStyle w:val="Hyperlink"/>
                  <w:rFonts w:ascii="Arial" w:hAnsi="Arial" w:cs="Arial"/>
                  <w:b/>
                  <w:szCs w:val="24"/>
                </w:rPr>
                <w:t>https://bnf.nice.org.uk/</w:t>
              </w:r>
            </w:hyperlink>
            <w:r w:rsidR="00A83A4D">
              <w:rPr>
                <w:rFonts w:ascii="Arial" w:hAnsi="Arial" w:cs="Arial"/>
                <w:b/>
                <w:szCs w:val="24"/>
              </w:rPr>
              <w:t xml:space="preserve"> </w:t>
            </w:r>
          </w:p>
          <w:p w:rsidR="00FB69B6" w:rsidRPr="00410A7D" w:rsidRDefault="00B5077D" w:rsidP="00A83A4D">
            <w:pPr>
              <w:rPr>
                <w:rFonts w:ascii="Arial" w:hAnsi="Arial" w:cs="Arial"/>
                <w:szCs w:val="24"/>
              </w:rPr>
            </w:pPr>
            <w:hyperlink r:id="rId13" w:history="1">
              <w:r w:rsidR="00A83A4D" w:rsidRPr="00F70CE1">
                <w:rPr>
                  <w:rStyle w:val="Hyperlink"/>
                  <w:rFonts w:ascii="Arial" w:hAnsi="Arial" w:cs="Arial"/>
                  <w:b/>
                  <w:szCs w:val="24"/>
                </w:rPr>
                <w:t>https://www.medicines.org.uk/emc</w:t>
              </w:r>
            </w:hyperlink>
          </w:p>
        </w:tc>
      </w:tr>
      <w:tr w:rsidR="00FB69B6" w:rsidRPr="00410A7D" w:rsidTr="000109A6">
        <w:trPr>
          <w:trHeight w:val="567"/>
          <w:jc w:val="center"/>
        </w:trPr>
        <w:tc>
          <w:tcPr>
            <w:tcW w:w="1050" w:type="pct"/>
            <w:tcBorders>
              <w:top w:val="single" w:sz="6" w:space="0" w:color="auto"/>
              <w:left w:val="single" w:sz="4" w:space="0" w:color="auto"/>
              <w:bottom w:val="single" w:sz="6" w:space="0" w:color="auto"/>
              <w:right w:val="single" w:sz="6" w:space="0" w:color="auto"/>
            </w:tcBorders>
            <w:shd w:val="pct5" w:color="auto" w:fill="auto"/>
            <w:vAlign w:val="center"/>
          </w:tcPr>
          <w:p w:rsidR="00FB69B6" w:rsidRPr="00410A7D" w:rsidRDefault="00FB69B6" w:rsidP="007472D6">
            <w:pPr>
              <w:rPr>
                <w:rFonts w:ascii="Arial" w:hAnsi="Arial" w:cs="Arial"/>
                <w:szCs w:val="24"/>
              </w:rPr>
            </w:pPr>
            <w:r w:rsidRPr="00410A7D">
              <w:rPr>
                <w:rFonts w:ascii="Arial" w:hAnsi="Arial" w:cs="Arial"/>
                <w:szCs w:val="24"/>
              </w:rPr>
              <w:lastRenderedPageBreak/>
              <w:t>Communication/ Contact Details</w:t>
            </w: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F65505" w:rsidRPr="000D38B8" w:rsidRDefault="00F65505" w:rsidP="005D2DD5">
            <w:pPr>
              <w:pStyle w:val="ListParagraph"/>
              <w:numPr>
                <w:ilvl w:val="0"/>
                <w:numId w:val="46"/>
              </w:numPr>
              <w:shd w:val="clear" w:color="auto" w:fill="FFFFFF"/>
              <w:spacing w:before="100" w:beforeAutospacing="1" w:after="100" w:afterAutospacing="1"/>
              <w:textAlignment w:val="top"/>
              <w:rPr>
                <w:rFonts w:ascii="Arial" w:hAnsi="Arial" w:cs="Arial"/>
                <w:snapToGrid w:val="0"/>
                <w:szCs w:val="24"/>
              </w:rPr>
            </w:pPr>
          </w:p>
          <w:p w:rsidR="00F65505" w:rsidRPr="00CA5C45" w:rsidRDefault="00F65505" w:rsidP="00F65505">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For acute advice:</w:t>
            </w:r>
          </w:p>
          <w:p w:rsidR="00F65505" w:rsidRPr="00476CE2" w:rsidRDefault="00F65505" w:rsidP="00F65505">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Monday to Friday, 9.00 am to 5.00 pm, phone the on-call </w:t>
            </w:r>
            <w:r>
              <w:rPr>
                <w:rFonts w:ascii="Arial" w:hAnsi="Arial" w:cs="Arial"/>
                <w:color w:val="212121"/>
                <w:szCs w:val="24"/>
                <w:lang w:val="en" w:eastAsia="en-GB"/>
              </w:rPr>
              <w:t xml:space="preserve">monitoring </w:t>
            </w:r>
            <w:r w:rsidR="000D38B8">
              <w:rPr>
                <w:rFonts w:ascii="Arial" w:hAnsi="Arial" w:cs="Arial"/>
                <w:color w:val="212121"/>
                <w:szCs w:val="24"/>
                <w:lang w:val="en" w:eastAsia="en-GB"/>
              </w:rPr>
              <w:t>nurse, rheumatology</w:t>
            </w:r>
            <w:r w:rsidRPr="00476CE2">
              <w:rPr>
                <w:rFonts w:ascii="Arial" w:hAnsi="Arial" w:cs="Arial"/>
                <w:color w:val="212121"/>
                <w:szCs w:val="24"/>
                <w:lang w:val="en" w:eastAsia="en-GB"/>
              </w:rPr>
              <w:t xml:space="preserve"> registrar</w:t>
            </w:r>
            <w:r>
              <w:rPr>
                <w:rFonts w:ascii="Arial" w:hAnsi="Arial" w:cs="Arial"/>
                <w:color w:val="212121"/>
                <w:szCs w:val="24"/>
                <w:lang w:val="en" w:eastAsia="en-GB"/>
              </w:rPr>
              <w:t xml:space="preserve"> or rheumatology consultant on </w:t>
            </w:r>
            <w:r w:rsidR="000D38B8">
              <w:rPr>
                <w:rFonts w:ascii="Arial" w:hAnsi="Arial" w:cs="Arial"/>
                <w:color w:val="212121"/>
                <w:szCs w:val="24"/>
                <w:lang w:val="en" w:eastAsia="en-GB"/>
              </w:rPr>
              <w:t xml:space="preserve">call </w:t>
            </w:r>
            <w:r w:rsidR="000D38B8" w:rsidRPr="00476CE2">
              <w:rPr>
                <w:rFonts w:ascii="Arial" w:hAnsi="Arial" w:cs="Arial"/>
                <w:color w:val="212121"/>
                <w:szCs w:val="24"/>
                <w:lang w:val="en" w:eastAsia="en-GB"/>
              </w:rPr>
              <w:t>via</w:t>
            </w:r>
            <w:r w:rsidRPr="00476CE2">
              <w:rPr>
                <w:rFonts w:ascii="Arial" w:hAnsi="Arial" w:cs="Arial"/>
                <w:color w:val="212121"/>
                <w:szCs w:val="24"/>
                <w:lang w:val="en" w:eastAsia="en-GB"/>
              </w:rPr>
              <w:t xml:space="preserve"> the switchboard on </w:t>
            </w:r>
            <w:r w:rsidRPr="00476CE2">
              <w:rPr>
                <w:rFonts w:ascii="Arial" w:hAnsi="Arial" w:cs="Arial"/>
                <w:b/>
                <w:bCs/>
                <w:color w:val="212121"/>
                <w:szCs w:val="24"/>
                <w:lang w:val="en" w:eastAsia="en-GB"/>
              </w:rPr>
              <w:t>(0191) 565 6256</w:t>
            </w:r>
            <w:r>
              <w:rPr>
                <w:rFonts w:ascii="Arial" w:hAnsi="Arial" w:cs="Arial"/>
                <w:color w:val="212121"/>
                <w:szCs w:val="24"/>
                <w:lang w:val="en" w:eastAsia="en-GB"/>
              </w:rPr>
              <w:t xml:space="preserve">.  Please use the bleep number </w:t>
            </w:r>
            <w:r w:rsidRPr="009609AF">
              <w:rPr>
                <w:rFonts w:ascii="Arial" w:hAnsi="Arial" w:cs="Arial"/>
                <w:b/>
                <w:color w:val="212121"/>
                <w:szCs w:val="24"/>
                <w:lang w:val="en" w:eastAsia="en-GB"/>
              </w:rPr>
              <w:t>53546</w:t>
            </w:r>
            <w:r>
              <w:rPr>
                <w:rFonts w:ascii="Arial" w:hAnsi="Arial" w:cs="Arial"/>
                <w:color w:val="212121"/>
                <w:szCs w:val="24"/>
                <w:lang w:val="en" w:eastAsia="en-GB"/>
              </w:rPr>
              <w:t xml:space="preserve"> in order to contact the rheumatology monitoring nurse</w:t>
            </w:r>
            <w:r w:rsidR="000D1E3F">
              <w:rPr>
                <w:rFonts w:ascii="Arial" w:hAnsi="Arial" w:cs="Arial"/>
                <w:color w:val="212121"/>
                <w:szCs w:val="24"/>
                <w:lang w:val="en" w:eastAsia="en-GB"/>
              </w:rPr>
              <w:t xml:space="preserve"> for all routine queries</w:t>
            </w:r>
          </w:p>
          <w:p w:rsidR="00F65505" w:rsidRPr="00476CE2" w:rsidRDefault="00F65505" w:rsidP="00F65505">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Out of hours, phone the on-call medical registrar on </w:t>
            </w:r>
            <w:r w:rsidRPr="00476CE2">
              <w:rPr>
                <w:rFonts w:ascii="Arial" w:hAnsi="Arial" w:cs="Arial"/>
                <w:b/>
                <w:bCs/>
                <w:color w:val="212121"/>
                <w:szCs w:val="24"/>
                <w:lang w:val="en" w:eastAsia="en-GB"/>
              </w:rPr>
              <w:t>(0191) 565 6256</w:t>
            </w:r>
            <w:r w:rsidRPr="00476CE2">
              <w:rPr>
                <w:rFonts w:ascii="Arial" w:hAnsi="Arial" w:cs="Arial"/>
                <w:color w:val="212121"/>
                <w:szCs w:val="24"/>
                <w:lang w:val="en" w:eastAsia="en-GB"/>
              </w:rPr>
              <w:t>.</w:t>
            </w:r>
          </w:p>
          <w:p w:rsidR="00F65505" w:rsidRPr="00CA5C45" w:rsidRDefault="00F65505" w:rsidP="00F65505">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 xml:space="preserve">For non-acute advice, send a </w:t>
            </w:r>
            <w:r w:rsidRPr="00047402">
              <w:rPr>
                <w:rFonts w:ascii="Arial" w:hAnsi="Arial" w:cs="Arial"/>
                <w:color w:val="212121"/>
                <w:szCs w:val="24"/>
                <w:lang w:val="en" w:eastAsia="en-GB"/>
              </w:rPr>
              <w:t xml:space="preserve">letter to </w:t>
            </w:r>
            <w:r>
              <w:rPr>
                <w:rFonts w:ascii="Arial" w:hAnsi="Arial" w:cs="Arial"/>
                <w:color w:val="212121"/>
                <w:szCs w:val="24"/>
                <w:lang w:val="en" w:eastAsia="en-GB"/>
              </w:rPr>
              <w:t xml:space="preserve">the </w:t>
            </w:r>
            <w:r w:rsidRPr="00047402">
              <w:rPr>
                <w:rFonts w:ascii="Arial" w:hAnsi="Arial" w:cs="Arial"/>
                <w:color w:val="212121"/>
                <w:szCs w:val="24"/>
                <w:lang w:val="en" w:eastAsia="en-GB"/>
              </w:rPr>
              <w:t>consu</w:t>
            </w:r>
            <w:r>
              <w:rPr>
                <w:rFonts w:ascii="Arial" w:hAnsi="Arial" w:cs="Arial"/>
                <w:color w:val="212121"/>
                <w:szCs w:val="24"/>
                <w:lang w:val="en" w:eastAsia="en-GB"/>
              </w:rPr>
              <w:t>l</w:t>
            </w:r>
            <w:r w:rsidRPr="00047402">
              <w:rPr>
                <w:rFonts w:ascii="Arial" w:hAnsi="Arial" w:cs="Arial"/>
                <w:color w:val="212121"/>
                <w:szCs w:val="24"/>
                <w:lang w:val="en" w:eastAsia="en-GB"/>
              </w:rPr>
              <w:t xml:space="preserve">tant in charge of </w:t>
            </w:r>
            <w:r>
              <w:rPr>
                <w:rFonts w:ascii="Arial" w:hAnsi="Arial" w:cs="Arial"/>
                <w:color w:val="212121"/>
                <w:szCs w:val="24"/>
                <w:lang w:val="en" w:eastAsia="en-GB"/>
              </w:rPr>
              <w:t xml:space="preserve">the patient’s </w:t>
            </w:r>
            <w:r w:rsidRPr="00047402">
              <w:rPr>
                <w:rFonts w:ascii="Arial" w:hAnsi="Arial" w:cs="Arial"/>
                <w:color w:val="212121"/>
                <w:szCs w:val="24"/>
                <w:lang w:val="en" w:eastAsia="en-GB"/>
              </w:rPr>
              <w:t>care</w:t>
            </w:r>
            <w:r>
              <w:rPr>
                <w:rFonts w:ascii="Arial" w:hAnsi="Arial" w:cs="Arial"/>
                <w:color w:val="212121"/>
                <w:szCs w:val="24"/>
                <w:lang w:val="en" w:eastAsia="en-GB"/>
              </w:rPr>
              <w:t>.</w:t>
            </w:r>
          </w:p>
          <w:p w:rsidR="00FB69B6" w:rsidRPr="005D2DD5" w:rsidRDefault="00FB69B6" w:rsidP="009609AF">
            <w:pPr>
              <w:pStyle w:val="ListParagraph"/>
              <w:shd w:val="clear" w:color="auto" w:fill="FFFFFF"/>
              <w:spacing w:before="100" w:beforeAutospacing="1" w:after="100" w:afterAutospacing="1"/>
              <w:textAlignment w:val="top"/>
              <w:rPr>
                <w:rFonts w:ascii="Arial" w:hAnsi="Arial" w:cs="Arial"/>
                <w:snapToGrid w:val="0"/>
                <w:szCs w:val="24"/>
              </w:rPr>
            </w:pPr>
          </w:p>
        </w:tc>
      </w:tr>
    </w:tbl>
    <w:p w:rsidR="003D627F" w:rsidRDefault="00A26B53" w:rsidP="000F1103">
      <w:pPr>
        <w:jc w:val="center"/>
        <w:rPr>
          <w:rFonts w:ascii="Arial" w:hAnsi="Arial" w:cs="Arial"/>
          <w:b/>
          <w:bCs/>
          <w:i/>
          <w:sz w:val="22"/>
          <w:szCs w:val="22"/>
        </w:rPr>
      </w:pPr>
      <w:r w:rsidRPr="003D627F">
        <w:rPr>
          <w:rFonts w:ascii="Arial" w:hAnsi="Arial" w:cs="Arial"/>
          <w:b/>
          <w:bCs/>
          <w:i/>
          <w:sz w:val="22"/>
          <w:szCs w:val="22"/>
        </w:rPr>
        <w:t>This information is not inclusive of all prescribing information and potential adverse effects. Please refer to full prescribing data in the SPC or the BNF</w:t>
      </w:r>
      <w:r w:rsidR="003D627F" w:rsidRPr="003D627F">
        <w:rPr>
          <w:rFonts w:ascii="Arial" w:hAnsi="Arial" w:cs="Arial"/>
          <w:b/>
          <w:bCs/>
          <w:i/>
          <w:sz w:val="22"/>
          <w:szCs w:val="22"/>
        </w:rPr>
        <w:t>.</w:t>
      </w: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455589" w:rsidRDefault="004E7BEB" w:rsidP="00CC7393">
      <w:pPr>
        <w:pStyle w:val="Heading2"/>
        <w:jc w:val="left"/>
        <w:rPr>
          <w:rFonts w:cs="Arial"/>
          <w:b w:val="0"/>
          <w:szCs w:val="24"/>
        </w:rPr>
      </w:pPr>
      <w:r w:rsidRPr="006D373F">
        <w:rPr>
          <w:u w:val="single"/>
        </w:rPr>
        <w:t>Shared Care Request/Confirmation</w:t>
      </w:r>
      <w:r>
        <w:tab/>
      </w:r>
      <w:r>
        <w:tab/>
      </w:r>
      <w:r>
        <w:tab/>
      </w:r>
      <w:r>
        <w:tab/>
      </w:r>
      <w:r w:rsidRPr="004E7BEB">
        <w:rPr>
          <w:sz w:val="24"/>
          <w:szCs w:val="24"/>
        </w:rPr>
        <w:t>Private and Confidential</w:t>
      </w:r>
      <w:r>
        <w:tab/>
      </w:r>
      <w:r>
        <w:tab/>
      </w:r>
    </w:p>
    <w:p w:rsidR="00C02C8A" w:rsidRPr="00455589" w:rsidRDefault="00C02C8A" w:rsidP="00455589">
      <w:pPr>
        <w:tabs>
          <w:tab w:val="left" w:pos="1701"/>
          <w:tab w:val="left" w:leader="dot" w:pos="4820"/>
          <w:tab w:val="left" w:leader="dot" w:pos="8931"/>
        </w:tabs>
        <w:rPr>
          <w:rFonts w:ascii="Arial" w:hAnsi="Arial" w:cs="Arial"/>
          <w:b/>
          <w:i/>
          <w:sz w:val="20"/>
        </w:rPr>
      </w:pPr>
      <w:r>
        <w:rPr>
          <w:rFonts w:ascii="Arial" w:hAnsi="Arial" w:cs="Arial"/>
          <w:b/>
          <w:szCs w:val="24"/>
        </w:rPr>
        <w:t>Patient information</w:t>
      </w:r>
      <w:proofErr w:type="gramStart"/>
      <w:r>
        <w:rPr>
          <w:rFonts w:ascii="Arial" w:hAnsi="Arial" w:cs="Arial"/>
          <w:b/>
          <w:szCs w:val="24"/>
        </w:rPr>
        <w:t>:</w:t>
      </w:r>
      <w:proofErr w:type="gramEnd"/>
      <w:r w:rsidR="00455589">
        <w:rPr>
          <w:rFonts w:ascii="Arial" w:hAnsi="Arial" w:cs="Arial"/>
          <w:b/>
          <w:szCs w:val="24"/>
        </w:rPr>
        <w:br/>
      </w:r>
      <w:r w:rsidR="00455589" w:rsidRPr="00B26797">
        <w:rPr>
          <w:rFonts w:ascii="Arial" w:hAnsi="Arial" w:cs="Arial"/>
          <w:b/>
          <w:i/>
          <w:sz w:val="20"/>
        </w:rPr>
        <w:t>To be completed by specialist prescriber:</w:t>
      </w:r>
    </w:p>
    <w:tbl>
      <w:tblPr>
        <w:tblW w:w="10838" w:type="dxa"/>
        <w:jc w:val="center"/>
        <w:tblInd w:w="-861" w:type="dxa"/>
        <w:tblLayout w:type="fixed"/>
        <w:tblLook w:val="0000" w:firstRow="0" w:lastRow="0" w:firstColumn="0" w:lastColumn="0" w:noHBand="0" w:noVBand="0"/>
      </w:tblPr>
      <w:tblGrid>
        <w:gridCol w:w="1994"/>
        <w:gridCol w:w="3005"/>
        <w:gridCol w:w="1389"/>
        <w:gridCol w:w="567"/>
        <w:gridCol w:w="1559"/>
        <w:gridCol w:w="709"/>
        <w:gridCol w:w="1615"/>
      </w:tblGrid>
      <w:tr w:rsidR="008523FD" w:rsidRPr="008523FD" w:rsidTr="00651FE2">
        <w:trPr>
          <w:cantSplit/>
          <w:trHeight w:val="414"/>
          <w:jc w:val="center"/>
        </w:trPr>
        <w:tc>
          <w:tcPr>
            <w:tcW w:w="1994" w:type="dxa"/>
            <w:tcBorders>
              <w:top w:val="single" w:sz="4" w:space="0" w:color="auto"/>
              <w:left w:val="single" w:sz="4" w:space="0" w:color="auto"/>
            </w:tcBorders>
            <w:vAlign w:val="center"/>
          </w:tcPr>
          <w:p w:rsidR="008523FD" w:rsidRPr="008523FD" w:rsidRDefault="008523FD" w:rsidP="008523FD">
            <w:pPr>
              <w:tabs>
                <w:tab w:val="left" w:leader="dot" w:pos="4144"/>
              </w:tabs>
              <w:rPr>
                <w:rFonts w:ascii="Arial" w:hAnsi="Arial" w:cs="Arial"/>
                <w:b/>
                <w:sz w:val="20"/>
              </w:rPr>
            </w:pPr>
          </w:p>
        </w:tc>
        <w:tc>
          <w:tcPr>
            <w:tcW w:w="3005" w:type="dxa"/>
            <w:tcBorders>
              <w:top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5839" w:type="dxa"/>
            <w:gridSpan w:val="5"/>
            <w:tcBorders>
              <w:top w:val="single" w:sz="4" w:space="0" w:color="auto"/>
              <w:left w:val="single" w:sz="4" w:space="0" w:color="auto"/>
              <w:righ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4"/>
              </w:rPr>
            </w:pPr>
            <w:r w:rsidRPr="008523FD">
              <w:rPr>
                <w:rFonts w:ascii="Arial" w:hAnsi="Arial" w:cs="Arial"/>
                <w:b/>
                <w:sz w:val="20"/>
                <w:szCs w:val="24"/>
              </w:rPr>
              <w:t>Patient details (use hospital label if preferred)</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Consultant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2"/>
              </w:rPr>
            </w:pPr>
            <w:r w:rsidRPr="008523FD">
              <w:rPr>
                <w:rFonts w:ascii="Arial" w:hAnsi="Arial" w:cs="Arial"/>
                <w:b/>
                <w:sz w:val="20"/>
                <w:szCs w:val="22"/>
              </w:rPr>
              <w:t>Name</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Department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Address</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Hospital</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vAlign w:val="bottom"/>
          </w:tcPr>
          <w:p w:rsidR="008523FD" w:rsidRPr="008523FD" w:rsidRDefault="008523FD" w:rsidP="008523FD">
            <w:pPr>
              <w:tabs>
                <w:tab w:val="left" w:leader="dot" w:pos="4144"/>
              </w:tabs>
              <w:rPr>
                <w:rFonts w:ascii="Arial" w:hAnsi="Arial" w:cs="Arial"/>
                <w:sz w:val="20"/>
              </w:rPr>
            </w:pP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Postcode</w:t>
            </w:r>
          </w:p>
        </w:tc>
        <w:tc>
          <w:tcPr>
            <w:tcW w:w="2126" w:type="dxa"/>
            <w:gridSpan w:val="2"/>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c>
          <w:tcPr>
            <w:tcW w:w="709" w:type="dxa"/>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Sex</w:t>
            </w:r>
          </w:p>
        </w:tc>
        <w:tc>
          <w:tcPr>
            <w:tcW w:w="1615" w:type="dxa"/>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tcBorders>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1956" w:type="dxa"/>
            <w:gridSpan w:val="2"/>
            <w:tcBorders>
              <w:left w:val="single" w:sz="4" w:space="0" w:color="auto"/>
              <w:bottom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4B6F12">
              <w:rPr>
                <w:rFonts w:ascii="Arial" w:hAnsi="Arial" w:cs="Arial"/>
                <w:b/>
                <w:sz w:val="20"/>
                <w:szCs w:val="22"/>
              </w:rPr>
              <w:t xml:space="preserve">NHS or </w:t>
            </w:r>
            <w:r w:rsidRPr="008523FD">
              <w:rPr>
                <w:rFonts w:ascii="Arial" w:hAnsi="Arial" w:cs="Arial"/>
                <w:b/>
                <w:sz w:val="20"/>
                <w:szCs w:val="22"/>
              </w:rPr>
              <w:t>Hosp. Reg. No.</w:t>
            </w:r>
          </w:p>
        </w:tc>
        <w:tc>
          <w:tcPr>
            <w:tcW w:w="1559" w:type="dxa"/>
            <w:tcBorders>
              <w:bottom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r w:rsidR="00A73AAA">
              <w:rPr>
                <w:rFonts w:ascii="Arial" w:hAnsi="Arial" w:cs="Arial"/>
                <w:sz w:val="20"/>
              </w:rPr>
              <w:t>…</w:t>
            </w:r>
          </w:p>
        </w:tc>
        <w:tc>
          <w:tcPr>
            <w:tcW w:w="709" w:type="dxa"/>
            <w:tcBorders>
              <w:bottom w:val="single" w:sz="4" w:space="0" w:color="auto"/>
            </w:tcBorders>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DoB</w:t>
            </w:r>
          </w:p>
        </w:tc>
        <w:tc>
          <w:tcPr>
            <w:tcW w:w="1615" w:type="dxa"/>
            <w:tcBorders>
              <w:bottom w:val="single" w:sz="4" w:space="0" w:color="auto"/>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bl>
    <w:p w:rsidR="005F438A" w:rsidRDefault="005F438A" w:rsidP="00B26797">
      <w:pPr>
        <w:tabs>
          <w:tab w:val="left" w:pos="1701"/>
          <w:tab w:val="left" w:leader="dot" w:pos="4820"/>
          <w:tab w:val="left" w:leader="dot" w:pos="8931"/>
        </w:tabs>
        <w:rPr>
          <w:rFonts w:ascii="Arial" w:hAnsi="Arial" w:cs="Arial"/>
          <w:b/>
          <w:szCs w:val="24"/>
        </w:rPr>
      </w:pPr>
    </w:p>
    <w:p w:rsidR="00455589" w:rsidRDefault="00455589" w:rsidP="00B26797">
      <w:pPr>
        <w:tabs>
          <w:tab w:val="left" w:pos="1701"/>
          <w:tab w:val="left" w:leader="dot" w:pos="4820"/>
          <w:tab w:val="left" w:leader="dot" w:pos="8931"/>
        </w:tabs>
        <w:rPr>
          <w:rFonts w:ascii="Arial" w:hAnsi="Arial" w:cs="Arial"/>
          <w:b/>
          <w:szCs w:val="24"/>
        </w:rPr>
      </w:pPr>
    </w:p>
    <w:p w:rsidR="00B26797" w:rsidRPr="002E259E" w:rsidRDefault="008523FD" w:rsidP="00B26797">
      <w:pPr>
        <w:tabs>
          <w:tab w:val="left" w:pos="1701"/>
          <w:tab w:val="left" w:leader="dot" w:pos="4820"/>
          <w:tab w:val="left" w:leader="dot" w:pos="8931"/>
        </w:tabs>
        <w:rPr>
          <w:rFonts w:ascii="Arial" w:hAnsi="Arial" w:cs="Arial"/>
          <w:b/>
          <w:szCs w:val="24"/>
        </w:rPr>
      </w:pPr>
      <w:r w:rsidRPr="002E259E">
        <w:rPr>
          <w:rFonts w:ascii="Arial" w:hAnsi="Arial" w:cs="Arial"/>
          <w:b/>
          <w:szCs w:val="24"/>
        </w:rPr>
        <w:t>Treatment Requested for Prescribing in Accordance with Shared Care Arrangement</w:t>
      </w:r>
      <w:r w:rsidR="004E7BEB">
        <w:rPr>
          <w:rFonts w:ascii="Arial" w:hAnsi="Arial" w:cs="Arial"/>
          <w:b/>
          <w:szCs w:val="24"/>
        </w:rPr>
        <w:t>:</w:t>
      </w:r>
    </w:p>
    <w:p w:rsidR="008523FD" w:rsidRPr="00B26797" w:rsidRDefault="00B26797" w:rsidP="00B26797">
      <w:pPr>
        <w:tabs>
          <w:tab w:val="left" w:pos="1701"/>
          <w:tab w:val="left" w:leader="dot" w:pos="4820"/>
          <w:tab w:val="left" w:leader="dot" w:pos="8931"/>
        </w:tabs>
        <w:rPr>
          <w:rFonts w:ascii="Arial" w:hAnsi="Arial" w:cs="Arial"/>
          <w:b/>
          <w:i/>
          <w:sz w:val="20"/>
        </w:rPr>
      </w:pPr>
      <w:r w:rsidRPr="00B26797">
        <w:rPr>
          <w:rFonts w:ascii="Arial" w:hAnsi="Arial" w:cs="Arial"/>
          <w:b/>
          <w:i/>
          <w:sz w:val="20"/>
        </w:rPr>
        <w:t>To be completed by specialist prescriber:</w:t>
      </w:r>
    </w:p>
    <w:tbl>
      <w:tblPr>
        <w:tblStyle w:val="TableGrid"/>
        <w:tblpPr w:leftFromText="180" w:rightFromText="180" w:vertAnchor="text" w:horzAnchor="margin" w:tblpY="84"/>
        <w:tblW w:w="0" w:type="auto"/>
        <w:tblLook w:val="04A0" w:firstRow="1" w:lastRow="0" w:firstColumn="1" w:lastColumn="0" w:noHBand="0" w:noVBand="1"/>
      </w:tblPr>
      <w:tblGrid>
        <w:gridCol w:w="2235"/>
        <w:gridCol w:w="8448"/>
      </w:tblGrid>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Drug name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Dose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Frequency</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Indication</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Other information</w:t>
            </w:r>
          </w:p>
        </w:tc>
        <w:tc>
          <w:tcPr>
            <w:tcW w:w="8448" w:type="dxa"/>
          </w:tcPr>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tc>
      </w:tr>
    </w:tbl>
    <w:p w:rsidR="00865DD3" w:rsidRDefault="00865DD3" w:rsidP="008523FD">
      <w:pPr>
        <w:ind w:right="-707"/>
        <w:rPr>
          <w:rFonts w:ascii="Arial" w:hAnsi="Arial" w:cs="Arial"/>
          <w:szCs w:val="24"/>
        </w:rPr>
      </w:pPr>
    </w:p>
    <w:p w:rsidR="00B26797" w:rsidRDefault="00C87608" w:rsidP="008523FD">
      <w:pPr>
        <w:ind w:right="-707"/>
        <w:rPr>
          <w:rFonts w:ascii="Arial" w:hAnsi="Arial" w:cs="Arial"/>
          <w:szCs w:val="24"/>
        </w:rPr>
      </w:pPr>
      <w:r w:rsidRPr="00791F84">
        <w:rPr>
          <w:rFonts w:ascii="Arial" w:hAnsi="Arial" w:cs="Arial"/>
          <w:bCs/>
          <w:sz w:val="22"/>
          <w:szCs w:val="22"/>
        </w:rPr>
        <w:t>Name</w:t>
      </w:r>
      <w:r>
        <w:rPr>
          <w:rFonts w:ascii="Arial" w:hAnsi="Arial" w:cs="Arial"/>
          <w:bCs/>
          <w:sz w:val="22"/>
          <w:szCs w:val="22"/>
        </w:rPr>
        <w:t xml:space="preserve"> (</w:t>
      </w:r>
      <w:r w:rsidR="000A45F3">
        <w:rPr>
          <w:rFonts w:ascii="Arial" w:hAnsi="Arial" w:cs="Arial"/>
          <w:bCs/>
          <w:sz w:val="22"/>
          <w:szCs w:val="22"/>
        </w:rPr>
        <w:t>print</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Signature</w:t>
      </w:r>
      <w:r>
        <w:rPr>
          <w:rFonts w:ascii="Arial" w:hAnsi="Arial" w:cs="Arial"/>
          <w:bCs/>
          <w:sz w:val="22"/>
          <w:szCs w:val="22"/>
        </w:rPr>
        <w:t xml:space="preserve"> (</w:t>
      </w:r>
      <w:r w:rsidR="000A45F3">
        <w:rPr>
          <w:rFonts w:ascii="Arial" w:hAnsi="Arial" w:cs="Arial"/>
          <w:bCs/>
          <w:sz w:val="22"/>
          <w:szCs w:val="22"/>
        </w:rPr>
        <w:t>of specialist prescriber</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Date…</w:t>
      </w:r>
      <w:r>
        <w:rPr>
          <w:rFonts w:ascii="Arial" w:hAnsi="Arial" w:cs="Arial"/>
          <w:bCs/>
          <w:sz w:val="22"/>
          <w:szCs w:val="22"/>
        </w:rPr>
        <w:t>….</w:t>
      </w:r>
      <w:r w:rsidRPr="00791F84">
        <w:rPr>
          <w:rFonts w:ascii="Arial" w:hAnsi="Arial" w:cs="Arial"/>
          <w:bCs/>
          <w:sz w:val="22"/>
          <w:szCs w:val="22"/>
        </w:rPr>
        <w:t>.</w:t>
      </w:r>
      <w:r w:rsidR="000A45F3">
        <w:rPr>
          <w:rFonts w:ascii="Arial" w:hAnsi="Arial" w:cs="Arial"/>
          <w:bCs/>
          <w:sz w:val="22"/>
          <w:szCs w:val="22"/>
        </w:rPr>
        <w:br/>
      </w: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Pr="00865DD3" w:rsidRDefault="00455589" w:rsidP="00455589">
      <w:pPr>
        <w:ind w:right="-707"/>
        <w:rPr>
          <w:rFonts w:ascii="Arial" w:hAnsi="Arial" w:cs="Arial"/>
          <w:szCs w:val="24"/>
        </w:rPr>
      </w:pPr>
      <w:r w:rsidRPr="00A73AAA">
        <w:rPr>
          <w:rFonts w:ascii="Arial" w:hAnsi="Arial" w:cs="Arial"/>
          <w:szCs w:val="24"/>
        </w:rPr>
        <w:t>-----------------------------------------------------------------------------------------------------------------------------------</w:t>
      </w:r>
    </w:p>
    <w:p w:rsidR="00455589" w:rsidRDefault="00455589" w:rsidP="00455589">
      <w:pPr>
        <w:ind w:right="-707"/>
        <w:rPr>
          <w:rFonts w:ascii="Arial" w:hAnsi="Arial" w:cs="Arial"/>
          <w:b/>
          <w:i/>
          <w:sz w:val="20"/>
        </w:rPr>
      </w:pPr>
    </w:p>
    <w:p w:rsidR="008523FD" w:rsidRPr="00B26797" w:rsidRDefault="00455589" w:rsidP="008523FD">
      <w:pPr>
        <w:ind w:right="-707"/>
        <w:rPr>
          <w:rFonts w:ascii="Arial" w:hAnsi="Arial" w:cs="Arial"/>
          <w:i/>
          <w:szCs w:val="24"/>
        </w:rPr>
      </w:pPr>
      <w:r>
        <w:rPr>
          <w:rFonts w:ascii="Arial" w:hAnsi="Arial" w:cs="Arial"/>
          <w:b/>
          <w:szCs w:val="24"/>
        </w:rPr>
        <w:t>Acceptance/rejection of treatment under Shared Care Agreement</w:t>
      </w:r>
      <w:proofErr w:type="gramStart"/>
      <w:r>
        <w:rPr>
          <w:rFonts w:ascii="Arial" w:hAnsi="Arial" w:cs="Arial"/>
          <w:b/>
          <w:szCs w:val="24"/>
        </w:rPr>
        <w:t>:</w:t>
      </w:r>
      <w:proofErr w:type="gramEnd"/>
      <w:r>
        <w:rPr>
          <w:rFonts w:ascii="Arial" w:hAnsi="Arial" w:cs="Arial"/>
          <w:b/>
          <w:szCs w:val="24"/>
        </w:rPr>
        <w:br/>
      </w:r>
      <w:r w:rsidR="008523FD" w:rsidRPr="00455589">
        <w:rPr>
          <w:rFonts w:ascii="Arial" w:hAnsi="Arial" w:cs="Arial"/>
          <w:b/>
          <w:i/>
          <w:sz w:val="20"/>
        </w:rPr>
        <w:t>To be completed by GP</w:t>
      </w:r>
      <w:r w:rsidR="00696BA0" w:rsidRPr="00455589">
        <w:rPr>
          <w:rFonts w:ascii="Arial" w:hAnsi="Arial" w:cs="Arial"/>
          <w:b/>
          <w:i/>
          <w:sz w:val="20"/>
        </w:rPr>
        <w:t>:</w:t>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t xml:space="preserve">  </w:t>
      </w:r>
      <w:r w:rsidR="008523FD" w:rsidRPr="00B26797">
        <w:rPr>
          <w:rFonts w:ascii="Arial" w:hAnsi="Arial" w:cs="Arial"/>
          <w:b/>
          <w:i/>
          <w:sz w:val="20"/>
        </w:rPr>
        <w:tab/>
        <w:t xml:space="preserve">          </w:t>
      </w:r>
    </w:p>
    <w:tbl>
      <w:tblPr>
        <w:tblW w:w="0" w:type="auto"/>
        <w:jc w:val="center"/>
        <w:tblLook w:val="04A0" w:firstRow="1" w:lastRow="0" w:firstColumn="1" w:lastColumn="0" w:noHBand="0" w:noVBand="1"/>
      </w:tblPr>
      <w:tblGrid>
        <w:gridCol w:w="5764"/>
        <w:gridCol w:w="2934"/>
        <w:gridCol w:w="930"/>
        <w:gridCol w:w="737"/>
        <w:gridCol w:w="318"/>
      </w:tblGrid>
      <w:tr w:rsidR="008523FD" w:rsidRPr="008523FD" w:rsidTr="00134903">
        <w:trPr>
          <w:trHeight w:val="351"/>
          <w:jc w:val="center"/>
        </w:trPr>
        <w:tc>
          <w:tcPr>
            <w:tcW w:w="8698" w:type="dxa"/>
            <w:gridSpan w:val="2"/>
            <w:shd w:val="clear" w:color="auto" w:fill="auto"/>
          </w:tcPr>
          <w:p w:rsidR="008523FD" w:rsidRPr="008523FD" w:rsidRDefault="008523FD" w:rsidP="008523FD">
            <w:pPr>
              <w:ind w:right="-707"/>
              <w:rPr>
                <w:rFonts w:ascii="Arial" w:hAnsi="Arial" w:cs="Arial"/>
                <w:szCs w:val="24"/>
              </w:rPr>
            </w:pPr>
          </w:p>
        </w:tc>
        <w:tc>
          <w:tcPr>
            <w:tcW w:w="1985" w:type="dxa"/>
            <w:gridSpan w:val="3"/>
            <w:shd w:val="clear" w:color="auto" w:fill="auto"/>
          </w:tcPr>
          <w:p w:rsidR="008523FD" w:rsidRPr="008523FD" w:rsidRDefault="008523FD" w:rsidP="008523FD">
            <w:pPr>
              <w:ind w:left="-675" w:right="-707"/>
              <w:jc w:val="center"/>
              <w:rPr>
                <w:rFonts w:ascii="Arial" w:hAnsi="Arial" w:cs="Arial"/>
                <w:szCs w:val="24"/>
              </w:rPr>
            </w:pPr>
            <w:r w:rsidRPr="008523FD">
              <w:rPr>
                <w:rFonts w:ascii="Arial" w:hAnsi="Arial" w:cs="Arial"/>
                <w:sz w:val="20"/>
              </w:rPr>
              <w:t>Please tick one box</w:t>
            </w: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 xml:space="preserve">I ACCEPT the proposed shared care arrangement for this patient  </w:t>
            </w:r>
            <w:r w:rsidRPr="00721A1C">
              <w:rPr>
                <w:rFonts w:ascii="Arial" w:hAnsi="Arial" w:cs="Arial"/>
                <w:b/>
                <w:i/>
                <w:sz w:val="22"/>
                <w:szCs w:val="22"/>
              </w:rPr>
              <w:tab/>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I ACCEPT the proposed shared care arrangement with the caveats below</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ind w:right="-707"/>
              <w:rPr>
                <w:rFonts w:ascii="Arial" w:hAnsi="Arial" w:cs="Arial"/>
                <w:i/>
                <w:sz w:val="22"/>
                <w:szCs w:val="22"/>
              </w:rPr>
            </w:pPr>
            <w:r w:rsidRPr="00721A1C">
              <w:rPr>
                <w:rFonts w:ascii="Arial" w:hAnsi="Arial" w:cs="Arial"/>
                <w:b/>
                <w:i/>
                <w:sz w:val="22"/>
                <w:szCs w:val="22"/>
              </w:rPr>
              <w:t>I DO NOT ACCEPT the proposed shared care arrangement for this patient</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10365" w:type="dxa"/>
            <w:gridSpan w:val="4"/>
            <w:shd w:val="clear" w:color="auto" w:fill="auto"/>
            <w:vAlign w:val="center"/>
          </w:tcPr>
          <w:p w:rsidR="00A11D73" w:rsidRDefault="00A11D73" w:rsidP="00B26797">
            <w:pPr>
              <w:ind w:right="-707"/>
              <w:rPr>
                <w:rFonts w:ascii="Arial" w:hAnsi="Arial" w:cs="Arial"/>
                <w:sz w:val="20"/>
              </w:rPr>
            </w:pPr>
          </w:p>
          <w:p w:rsidR="00134903" w:rsidRDefault="008523FD" w:rsidP="00B26797">
            <w:pPr>
              <w:ind w:right="-707"/>
              <w:rPr>
                <w:rFonts w:ascii="Arial" w:hAnsi="Arial" w:cs="Arial"/>
                <w:sz w:val="20"/>
              </w:rPr>
            </w:pPr>
            <w:r w:rsidRPr="008523FD">
              <w:rPr>
                <w:rFonts w:ascii="Arial" w:hAnsi="Arial" w:cs="Arial"/>
                <w:sz w:val="20"/>
              </w:rPr>
              <w:t>My caveats / reason(s) for not accepting include:</w:t>
            </w:r>
            <w:r w:rsidR="00B26797">
              <w:rPr>
                <w:rFonts w:ascii="Arial" w:hAnsi="Arial" w:cs="Arial"/>
                <w:sz w:val="20"/>
              </w:rPr>
              <w:t xml:space="preserve"> …………………………………………………………………………………… ………………………………………………………………………………………………………………………………………</w:t>
            </w:r>
          </w:p>
          <w:p w:rsidR="00134903" w:rsidRDefault="00134903" w:rsidP="00B26797">
            <w:pPr>
              <w:ind w:right="-707"/>
              <w:rPr>
                <w:rFonts w:ascii="Arial" w:hAnsi="Arial" w:cs="Arial"/>
                <w:sz w:val="20"/>
              </w:rPr>
            </w:pPr>
          </w:p>
          <w:p w:rsidR="00134903" w:rsidRPr="000A45F3" w:rsidRDefault="00134903" w:rsidP="00B26797">
            <w:pPr>
              <w:ind w:right="-707"/>
              <w:rPr>
                <w:rFonts w:ascii="Arial" w:hAnsi="Arial" w:cs="Arial"/>
                <w:bCs/>
                <w:sz w:val="22"/>
                <w:szCs w:val="22"/>
              </w:rPr>
            </w:pPr>
            <w:r w:rsidRPr="000A45F3">
              <w:rPr>
                <w:rFonts w:ascii="Arial" w:hAnsi="Arial" w:cs="Arial"/>
                <w:bCs/>
                <w:sz w:val="22"/>
                <w:szCs w:val="22"/>
              </w:rPr>
              <w:t>Name (</w:t>
            </w:r>
            <w:r w:rsidR="000A45F3">
              <w:rPr>
                <w:rFonts w:ascii="Arial" w:hAnsi="Arial" w:cs="Arial"/>
                <w:bCs/>
                <w:sz w:val="22"/>
                <w:szCs w:val="22"/>
              </w:rPr>
              <w:t>print</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 Signature (</w:t>
            </w:r>
            <w:r w:rsidR="000A45F3" w:rsidRPr="000A45F3">
              <w:rPr>
                <w:rFonts w:ascii="Arial" w:hAnsi="Arial" w:cs="Arial"/>
                <w:bCs/>
                <w:sz w:val="22"/>
                <w:szCs w:val="22"/>
              </w:rPr>
              <w:t>of GP</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w:t>
            </w:r>
            <w:r w:rsidR="00A31856">
              <w:rPr>
                <w:rFonts w:ascii="Arial" w:hAnsi="Arial" w:cs="Arial"/>
                <w:bCs/>
                <w:sz w:val="22"/>
                <w:szCs w:val="22"/>
              </w:rPr>
              <w:t xml:space="preserve">….... </w:t>
            </w:r>
            <w:r w:rsidRPr="000A45F3">
              <w:rPr>
                <w:rFonts w:ascii="Arial" w:hAnsi="Arial" w:cs="Arial"/>
                <w:bCs/>
                <w:sz w:val="22"/>
                <w:szCs w:val="22"/>
              </w:rPr>
              <w:t>Date…</w:t>
            </w:r>
            <w:r w:rsidR="00A31856">
              <w:rPr>
                <w:rFonts w:ascii="Arial" w:hAnsi="Arial" w:cs="Arial"/>
                <w:bCs/>
                <w:sz w:val="22"/>
                <w:szCs w:val="22"/>
              </w:rPr>
              <w:t>……</w:t>
            </w:r>
          </w:p>
          <w:p w:rsidR="008523FD" w:rsidRPr="008523FD" w:rsidRDefault="008523FD" w:rsidP="00B26797">
            <w:pPr>
              <w:ind w:right="-707"/>
              <w:rPr>
                <w:rFonts w:ascii="Arial" w:hAnsi="Arial" w:cs="Arial"/>
                <w:szCs w:val="24"/>
              </w:rPr>
            </w:pPr>
          </w:p>
        </w:tc>
        <w:tc>
          <w:tcPr>
            <w:tcW w:w="318" w:type="dxa"/>
            <w:shd w:val="clear" w:color="auto" w:fill="auto"/>
          </w:tcPr>
          <w:p w:rsidR="008523FD" w:rsidRPr="008523FD" w:rsidRDefault="00B26797" w:rsidP="008523FD">
            <w:pPr>
              <w:ind w:left="-675" w:right="-707"/>
              <w:rPr>
                <w:rFonts w:ascii="Arial" w:hAnsi="Arial" w:cs="Arial"/>
                <w:szCs w:val="24"/>
              </w:rPr>
            </w:pPr>
            <w:r>
              <w:rPr>
                <w:rFonts w:ascii="Arial" w:hAnsi="Arial" w:cs="Arial"/>
                <w:szCs w:val="24"/>
              </w:rPr>
              <w:t>.</w:t>
            </w:r>
          </w:p>
        </w:tc>
      </w:tr>
    </w:tbl>
    <w:p w:rsidR="004B6F12" w:rsidRPr="00B26797" w:rsidRDefault="008523FD" w:rsidP="00B26797">
      <w:pPr>
        <w:pBdr>
          <w:top w:val="single" w:sz="4" w:space="1" w:color="auto"/>
          <w:left w:val="single" w:sz="4" w:space="4" w:color="auto"/>
          <w:bottom w:val="single" w:sz="4" w:space="1" w:color="auto"/>
          <w:right w:val="single" w:sz="4" w:space="8" w:color="auto"/>
        </w:pBdr>
        <w:tabs>
          <w:tab w:val="left" w:leader="dot" w:pos="3119"/>
          <w:tab w:val="left" w:leader="dot" w:pos="6663"/>
          <w:tab w:val="left" w:leader="dot" w:pos="8505"/>
        </w:tabs>
        <w:jc w:val="center"/>
        <w:rPr>
          <w:rFonts w:ascii="Arial" w:hAnsi="Arial" w:cs="Arial"/>
          <w:szCs w:val="24"/>
        </w:rPr>
      </w:pPr>
      <w:proofErr w:type="gramStart"/>
      <w:r w:rsidRPr="008523FD">
        <w:rPr>
          <w:rFonts w:ascii="Arial" w:hAnsi="Arial" w:cs="Arial"/>
          <w:b/>
        </w:rPr>
        <w:t>N.B.</w:t>
      </w:r>
      <w:proofErr w:type="gramEnd"/>
      <w:r w:rsidRPr="008523FD">
        <w:rPr>
          <w:rFonts w:ascii="Arial" w:hAnsi="Arial" w:cs="Arial"/>
          <w:b/>
        </w:rPr>
        <w:t xml:space="preserve">  Participation in this shared care arrangement implies that prescribing responsibility</w:t>
      </w:r>
      <w:r w:rsidR="004B6F12">
        <w:rPr>
          <w:rFonts w:ascii="Arial" w:hAnsi="Arial" w:cs="Arial"/>
          <w:b/>
        </w:rPr>
        <w:t xml:space="preserve"> is shared between the specialist prescriber </w:t>
      </w:r>
      <w:r w:rsidRPr="008523FD">
        <w:rPr>
          <w:rFonts w:ascii="Arial" w:hAnsi="Arial" w:cs="Arial"/>
          <w:b/>
        </w:rPr>
        <w:t>and the patient’s GP</w:t>
      </w:r>
    </w:p>
    <w:sectPr w:rsidR="004B6F12" w:rsidRPr="00B26797" w:rsidSect="00557A59">
      <w:headerReference w:type="default" r:id="rId14"/>
      <w:footerReference w:type="even" r:id="rId15"/>
      <w:footerReference w:type="default" r:id="rId16"/>
      <w:headerReference w:type="first" r:id="rId17"/>
      <w:footerReference w:type="first" r:id="rId18"/>
      <w:pgSz w:w="11907" w:h="16840" w:code="9"/>
      <w:pgMar w:top="284"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1C" w:rsidRDefault="009E4A1C" w:rsidP="007108FD">
      <w:pPr>
        <w:pStyle w:val="BodyText3"/>
      </w:pPr>
      <w:r>
        <w:separator/>
      </w:r>
    </w:p>
  </w:endnote>
  <w:endnote w:type="continuationSeparator" w:id="0">
    <w:p w:rsidR="009E4A1C" w:rsidRDefault="009E4A1C"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39" w:rsidRDefault="00A52D39"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8" w:rsidRDefault="00193328">
    <w:pPr>
      <w:pStyle w:val="Footer"/>
    </w:pPr>
    <w:r>
      <w:t xml:space="preserve">Methotrexate oral shared care protocol Rheumatology                                                             </w:t>
    </w:r>
    <w:sdt>
      <w:sdtPr>
        <w:id w:val="-1900817342"/>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B5077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5077D">
              <w:rPr>
                <w:b/>
                <w:bCs/>
                <w:noProof/>
              </w:rPr>
              <w:t>7</w:t>
            </w:r>
            <w:r>
              <w:rPr>
                <w:b/>
                <w:bCs/>
                <w:szCs w:val="24"/>
              </w:rPr>
              <w:fldChar w:fldCharType="end"/>
            </w:r>
          </w:sdtContent>
        </w:sdt>
      </w:sdtContent>
    </w:sdt>
  </w:p>
  <w:p w:rsidR="00A52D39" w:rsidRPr="00464699" w:rsidRDefault="00A52D39" w:rsidP="00464699">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1C" w:rsidRDefault="009E4A1C" w:rsidP="007108FD">
      <w:pPr>
        <w:pStyle w:val="BodyText3"/>
      </w:pPr>
      <w:r>
        <w:separator/>
      </w:r>
    </w:p>
  </w:footnote>
  <w:footnote w:type="continuationSeparator" w:id="0">
    <w:p w:rsidR="009E4A1C" w:rsidRDefault="009E4A1C"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E" w:rsidRDefault="006C49BF" w:rsidP="00D747FE">
    <w:pPr>
      <w:pStyle w:val="Header"/>
      <w:jc w:val="right"/>
    </w:pPr>
    <w:r>
      <w:rPr>
        <w:noProof/>
        <w:lang w:eastAsia="en-GB"/>
      </w:rPr>
      <w:drawing>
        <wp:inline distT="0" distB="0" distL="0" distR="0">
          <wp:extent cx="1743740" cy="758987"/>
          <wp:effectExtent l="0" t="0" r="8890" b="3175"/>
          <wp:docPr id="4" name="Picture 4" descr="I:\CSUs\NECS\Meds Op\SoTW Archive\Sunderland joint working\APC\Professional Secretary\S Tyneside  Sunderland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SoTW Archive\Sunderland joint working\APC\Professional Secretary\S Tyneside  Sunderland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8" cy="763757"/>
                  </a:xfrm>
                  <a:prstGeom prst="rect">
                    <a:avLst/>
                  </a:prstGeom>
                  <a:noFill/>
                  <a:ln>
                    <a:noFill/>
                  </a:ln>
                </pic:spPr>
              </pic:pic>
            </a:graphicData>
          </a:graphic>
        </wp:inline>
      </w:drawing>
    </w:r>
  </w:p>
  <w:p w:rsidR="00EB4894" w:rsidRDefault="00EB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Pr="00AC34E8" w:rsidRDefault="00A52D39"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AC974AA"/>
    <w:multiLevelType w:val="singleLevel"/>
    <w:tmpl w:val="0809000F"/>
    <w:lvl w:ilvl="0">
      <w:start w:val="1"/>
      <w:numFmt w:val="decimal"/>
      <w:lvlText w:val="%1."/>
      <w:lvlJc w:val="left"/>
      <w:pPr>
        <w:tabs>
          <w:tab w:val="num" w:pos="360"/>
        </w:tabs>
        <w:ind w:left="360" w:hanging="360"/>
      </w:pPr>
    </w:lvl>
  </w:abstractNum>
  <w:abstractNum w:abstractNumId="2">
    <w:nsid w:val="0CDE50E8"/>
    <w:multiLevelType w:val="hybridMultilevel"/>
    <w:tmpl w:val="218C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11DCE"/>
    <w:multiLevelType w:val="hybridMultilevel"/>
    <w:tmpl w:val="4AD2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66AB7"/>
    <w:multiLevelType w:val="hybridMultilevel"/>
    <w:tmpl w:val="6DBE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E31A4D"/>
    <w:multiLevelType w:val="hybridMultilevel"/>
    <w:tmpl w:val="C318F366"/>
    <w:lvl w:ilvl="0" w:tplc="F4D081B0">
      <w:start w:val="1"/>
      <w:numFmt w:val="bullet"/>
      <w:lvlText w:val=""/>
      <w:lvlJc w:val="left"/>
      <w:pPr>
        <w:tabs>
          <w:tab w:val="num" w:pos="1440"/>
        </w:tabs>
        <w:ind w:left="144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8B3FF7"/>
    <w:multiLevelType w:val="multilevel"/>
    <w:tmpl w:val="2A94BE2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PicBulletId w:val="0"/>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7">
    <w:nsid w:val="231E63E3"/>
    <w:multiLevelType w:val="hybridMultilevel"/>
    <w:tmpl w:val="C8B2E9B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4C41D9"/>
    <w:multiLevelType w:val="hybridMultilevel"/>
    <w:tmpl w:val="C31C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4025C1"/>
    <w:multiLevelType w:val="hybridMultilevel"/>
    <w:tmpl w:val="B4E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6572F"/>
    <w:multiLevelType w:val="hybridMultilevel"/>
    <w:tmpl w:val="D35A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DD5AE5"/>
    <w:multiLevelType w:val="hybridMultilevel"/>
    <w:tmpl w:val="BB86B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3">
    <w:nsid w:val="2E314DDA"/>
    <w:multiLevelType w:val="singleLevel"/>
    <w:tmpl w:val="095E99F2"/>
    <w:lvl w:ilvl="0">
      <w:start w:val="6"/>
      <w:numFmt w:val="decimal"/>
      <w:lvlText w:val="%1."/>
      <w:lvlJc w:val="left"/>
      <w:pPr>
        <w:tabs>
          <w:tab w:val="num" w:pos="360"/>
        </w:tabs>
        <w:ind w:left="360" w:hanging="360"/>
      </w:pPr>
    </w:lvl>
  </w:abstractNum>
  <w:abstractNum w:abstractNumId="14">
    <w:nsid w:val="2F0E5B62"/>
    <w:multiLevelType w:val="hybridMultilevel"/>
    <w:tmpl w:val="30CE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C4E4A"/>
    <w:multiLevelType w:val="hybridMultilevel"/>
    <w:tmpl w:val="66E0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56AA6"/>
    <w:multiLevelType w:val="hybridMultilevel"/>
    <w:tmpl w:val="6C2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E428F"/>
    <w:multiLevelType w:val="hybridMultilevel"/>
    <w:tmpl w:val="1F06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1461AA"/>
    <w:multiLevelType w:val="hybridMultilevel"/>
    <w:tmpl w:val="EBAEF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83D2F"/>
    <w:multiLevelType w:val="hybridMultilevel"/>
    <w:tmpl w:val="D4B84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371D0F"/>
    <w:multiLevelType w:val="hybridMultilevel"/>
    <w:tmpl w:val="12746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8305FD"/>
    <w:multiLevelType w:val="hybridMultilevel"/>
    <w:tmpl w:val="DBF60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8C1065"/>
    <w:multiLevelType w:val="hybridMultilevel"/>
    <w:tmpl w:val="43CE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61250B"/>
    <w:multiLevelType w:val="hybridMultilevel"/>
    <w:tmpl w:val="7F60FE2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D3337"/>
    <w:multiLevelType w:val="hybridMultilevel"/>
    <w:tmpl w:val="F2BE0D58"/>
    <w:lvl w:ilvl="0" w:tplc="261E99E0">
      <w:start w:val="1"/>
      <w:numFmt w:val="decimal"/>
      <w:lvlText w:val="%1."/>
      <w:lvlJc w:val="left"/>
      <w:pPr>
        <w:tabs>
          <w:tab w:val="num" w:pos="720"/>
        </w:tabs>
        <w:ind w:left="720" w:hanging="360"/>
      </w:pPr>
    </w:lvl>
    <w:lvl w:ilvl="1" w:tplc="CF94F1B6" w:tentative="1">
      <w:start w:val="1"/>
      <w:numFmt w:val="decimal"/>
      <w:lvlText w:val="%2."/>
      <w:lvlJc w:val="left"/>
      <w:pPr>
        <w:tabs>
          <w:tab w:val="num" w:pos="1440"/>
        </w:tabs>
        <w:ind w:left="1440" w:hanging="360"/>
      </w:pPr>
    </w:lvl>
    <w:lvl w:ilvl="2" w:tplc="7AC67228" w:tentative="1">
      <w:start w:val="1"/>
      <w:numFmt w:val="decimal"/>
      <w:lvlText w:val="%3."/>
      <w:lvlJc w:val="left"/>
      <w:pPr>
        <w:tabs>
          <w:tab w:val="num" w:pos="2160"/>
        </w:tabs>
        <w:ind w:left="2160" w:hanging="360"/>
      </w:pPr>
    </w:lvl>
    <w:lvl w:ilvl="3" w:tplc="CE7887F4" w:tentative="1">
      <w:start w:val="1"/>
      <w:numFmt w:val="decimal"/>
      <w:lvlText w:val="%4."/>
      <w:lvlJc w:val="left"/>
      <w:pPr>
        <w:tabs>
          <w:tab w:val="num" w:pos="2880"/>
        </w:tabs>
        <w:ind w:left="2880" w:hanging="360"/>
      </w:pPr>
    </w:lvl>
    <w:lvl w:ilvl="4" w:tplc="3806A5E6" w:tentative="1">
      <w:start w:val="1"/>
      <w:numFmt w:val="decimal"/>
      <w:lvlText w:val="%5."/>
      <w:lvlJc w:val="left"/>
      <w:pPr>
        <w:tabs>
          <w:tab w:val="num" w:pos="3600"/>
        </w:tabs>
        <w:ind w:left="3600" w:hanging="360"/>
      </w:pPr>
    </w:lvl>
    <w:lvl w:ilvl="5" w:tplc="095E9DFC" w:tentative="1">
      <w:start w:val="1"/>
      <w:numFmt w:val="decimal"/>
      <w:lvlText w:val="%6."/>
      <w:lvlJc w:val="left"/>
      <w:pPr>
        <w:tabs>
          <w:tab w:val="num" w:pos="4320"/>
        </w:tabs>
        <w:ind w:left="4320" w:hanging="360"/>
      </w:pPr>
    </w:lvl>
    <w:lvl w:ilvl="6" w:tplc="68C818BC" w:tentative="1">
      <w:start w:val="1"/>
      <w:numFmt w:val="decimal"/>
      <w:lvlText w:val="%7."/>
      <w:lvlJc w:val="left"/>
      <w:pPr>
        <w:tabs>
          <w:tab w:val="num" w:pos="5040"/>
        </w:tabs>
        <w:ind w:left="5040" w:hanging="360"/>
      </w:pPr>
    </w:lvl>
    <w:lvl w:ilvl="7" w:tplc="69EE3CCE" w:tentative="1">
      <w:start w:val="1"/>
      <w:numFmt w:val="decimal"/>
      <w:lvlText w:val="%8."/>
      <w:lvlJc w:val="left"/>
      <w:pPr>
        <w:tabs>
          <w:tab w:val="num" w:pos="5760"/>
        </w:tabs>
        <w:ind w:left="5760" w:hanging="360"/>
      </w:pPr>
    </w:lvl>
    <w:lvl w:ilvl="8" w:tplc="0FF23CFC" w:tentative="1">
      <w:start w:val="1"/>
      <w:numFmt w:val="decimal"/>
      <w:lvlText w:val="%9."/>
      <w:lvlJc w:val="left"/>
      <w:pPr>
        <w:tabs>
          <w:tab w:val="num" w:pos="6480"/>
        </w:tabs>
        <w:ind w:left="6480" w:hanging="360"/>
      </w:pPr>
    </w:lvl>
  </w:abstractNum>
  <w:abstractNum w:abstractNumId="25">
    <w:nsid w:val="54D11EB8"/>
    <w:multiLevelType w:val="hybridMultilevel"/>
    <w:tmpl w:val="475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7">
    <w:nsid w:val="58C65CCD"/>
    <w:multiLevelType w:val="hybridMultilevel"/>
    <w:tmpl w:val="D7A461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905B95"/>
    <w:multiLevelType w:val="hybridMultilevel"/>
    <w:tmpl w:val="8166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AD0438"/>
    <w:multiLevelType w:val="hybridMultilevel"/>
    <w:tmpl w:val="0D7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66B69"/>
    <w:multiLevelType w:val="hybridMultilevel"/>
    <w:tmpl w:val="8FC4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163A46"/>
    <w:multiLevelType w:val="hybridMultilevel"/>
    <w:tmpl w:val="85E2D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33B63"/>
    <w:multiLevelType w:val="singleLevel"/>
    <w:tmpl w:val="4EE86BE0"/>
    <w:lvl w:ilvl="0">
      <w:start w:val="3"/>
      <w:numFmt w:val="decimal"/>
      <w:lvlText w:val="%1."/>
      <w:lvlJc w:val="left"/>
      <w:pPr>
        <w:tabs>
          <w:tab w:val="num" w:pos="360"/>
        </w:tabs>
        <w:ind w:left="360" w:hanging="360"/>
      </w:pPr>
    </w:lvl>
  </w:abstractNum>
  <w:abstractNum w:abstractNumId="33">
    <w:nsid w:val="664F1F7B"/>
    <w:multiLevelType w:val="hybridMultilevel"/>
    <w:tmpl w:val="D480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FA629D"/>
    <w:multiLevelType w:val="hybridMultilevel"/>
    <w:tmpl w:val="C79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4466CA"/>
    <w:multiLevelType w:val="hybridMultilevel"/>
    <w:tmpl w:val="2EBE74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6F0B3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FE02D11"/>
    <w:multiLevelType w:val="hybridMultilevel"/>
    <w:tmpl w:val="22D6C3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002529D"/>
    <w:multiLevelType w:val="hybridMultilevel"/>
    <w:tmpl w:val="D0F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4E51E7"/>
    <w:multiLevelType w:val="hybridMultilevel"/>
    <w:tmpl w:val="BA085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E13E3E"/>
    <w:multiLevelType w:val="hybridMultilevel"/>
    <w:tmpl w:val="0CA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264EB"/>
    <w:multiLevelType w:val="singleLevel"/>
    <w:tmpl w:val="0809000F"/>
    <w:lvl w:ilvl="0">
      <w:start w:val="1"/>
      <w:numFmt w:val="decimal"/>
      <w:lvlText w:val="%1."/>
      <w:lvlJc w:val="left"/>
      <w:pPr>
        <w:tabs>
          <w:tab w:val="num" w:pos="360"/>
        </w:tabs>
        <w:ind w:left="360" w:hanging="360"/>
      </w:pPr>
    </w:lvl>
  </w:abstractNum>
  <w:abstractNum w:abstractNumId="42">
    <w:nsid w:val="7AB829A4"/>
    <w:multiLevelType w:val="hybridMultilevel"/>
    <w:tmpl w:val="5D9E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F41804"/>
    <w:multiLevelType w:val="hybridMultilevel"/>
    <w:tmpl w:val="6C98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1"/>
  </w:num>
  <w:num w:numId="5">
    <w:abstractNumId w:val="1"/>
  </w:num>
  <w:num w:numId="6">
    <w:abstractNumId w:val="32"/>
  </w:num>
  <w:num w:numId="7">
    <w:abstractNumId w:val="13"/>
  </w:num>
  <w:num w:numId="8">
    <w:abstractNumId w:val="33"/>
  </w:num>
  <w:num w:numId="9">
    <w:abstractNumId w:val="18"/>
  </w:num>
  <w:num w:numId="10">
    <w:abstractNumId w:val="3"/>
  </w:num>
  <w:num w:numId="11">
    <w:abstractNumId w:val="11"/>
  </w:num>
  <w:num w:numId="12">
    <w:abstractNumId w:val="23"/>
  </w:num>
  <w:num w:numId="13">
    <w:abstractNumId w:val="24"/>
  </w:num>
  <w:num w:numId="14">
    <w:abstractNumId w:val="26"/>
  </w:num>
  <w:num w:numId="15">
    <w:abstractNumId w:val="12"/>
  </w:num>
  <w:num w:numId="16">
    <w:abstractNumId w:val="22"/>
  </w:num>
  <w:num w:numId="17">
    <w:abstractNumId w:val="39"/>
  </w:num>
  <w:num w:numId="18">
    <w:abstractNumId w:val="15"/>
  </w:num>
  <w:num w:numId="19">
    <w:abstractNumId w:val="42"/>
  </w:num>
  <w:num w:numId="20">
    <w:abstractNumId w:val="19"/>
  </w:num>
  <w:num w:numId="21">
    <w:abstractNumId w:val="37"/>
  </w:num>
  <w:num w:numId="22">
    <w:abstractNumId w:val="7"/>
  </w:num>
  <w:num w:numId="23">
    <w:abstractNumId w:val="8"/>
  </w:num>
  <w:num w:numId="24">
    <w:abstractNumId w:val="4"/>
  </w:num>
  <w:num w:numId="25">
    <w:abstractNumId w:val="5"/>
  </w:num>
  <w:num w:numId="26">
    <w:abstractNumId w:val="36"/>
  </w:num>
  <w:num w:numId="27">
    <w:abstractNumId w:val="35"/>
  </w:num>
  <w:num w:numId="28">
    <w:abstractNumId w:val="27"/>
  </w:num>
  <w:num w:numId="29">
    <w:abstractNumId w:val="20"/>
  </w:num>
  <w:num w:numId="30">
    <w:abstractNumId w:val="43"/>
  </w:num>
  <w:num w:numId="31">
    <w:abstractNumId w:val="30"/>
  </w:num>
  <w:num w:numId="32">
    <w:abstractNumId w:val="28"/>
  </w:num>
  <w:num w:numId="33">
    <w:abstractNumId w:val="14"/>
  </w:num>
  <w:num w:numId="34">
    <w:abstractNumId w:val="9"/>
  </w:num>
  <w:num w:numId="35">
    <w:abstractNumId w:val="16"/>
  </w:num>
  <w:num w:numId="36">
    <w:abstractNumId w:val="34"/>
  </w:num>
  <w:num w:numId="37">
    <w:abstractNumId w:val="21"/>
  </w:num>
  <w:num w:numId="38">
    <w:abstractNumId w:val="25"/>
  </w:num>
  <w:num w:numId="39">
    <w:abstractNumId w:val="29"/>
  </w:num>
  <w:num w:numId="40">
    <w:abstractNumId w:val="38"/>
  </w:num>
  <w:num w:numId="41">
    <w:abstractNumId w:val="2"/>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109A6"/>
    <w:rsid w:val="00012361"/>
    <w:rsid w:val="0002158A"/>
    <w:rsid w:val="00025FAD"/>
    <w:rsid w:val="00041411"/>
    <w:rsid w:val="000571CB"/>
    <w:rsid w:val="000607ED"/>
    <w:rsid w:val="000612A1"/>
    <w:rsid w:val="000668B1"/>
    <w:rsid w:val="00075973"/>
    <w:rsid w:val="000A140E"/>
    <w:rsid w:val="000A45F3"/>
    <w:rsid w:val="000B1698"/>
    <w:rsid w:val="000B2847"/>
    <w:rsid w:val="000B7AF9"/>
    <w:rsid w:val="000D0C27"/>
    <w:rsid w:val="000D1005"/>
    <w:rsid w:val="000D1E3F"/>
    <w:rsid w:val="000D278B"/>
    <w:rsid w:val="000D38B8"/>
    <w:rsid w:val="000E246F"/>
    <w:rsid w:val="000E340A"/>
    <w:rsid w:val="000E5FCE"/>
    <w:rsid w:val="000F1103"/>
    <w:rsid w:val="0011418B"/>
    <w:rsid w:val="001144B4"/>
    <w:rsid w:val="00121AE9"/>
    <w:rsid w:val="001256D0"/>
    <w:rsid w:val="00134903"/>
    <w:rsid w:val="00136B6C"/>
    <w:rsid w:val="001446C9"/>
    <w:rsid w:val="00146360"/>
    <w:rsid w:val="00147EEA"/>
    <w:rsid w:val="00150FFD"/>
    <w:rsid w:val="00152B53"/>
    <w:rsid w:val="00157F38"/>
    <w:rsid w:val="001773E0"/>
    <w:rsid w:val="0017742B"/>
    <w:rsid w:val="00193328"/>
    <w:rsid w:val="00195B32"/>
    <w:rsid w:val="00195E97"/>
    <w:rsid w:val="001D04FD"/>
    <w:rsid w:val="001E3252"/>
    <w:rsid w:val="001E7C6D"/>
    <w:rsid w:val="001F25DF"/>
    <w:rsid w:val="001F2617"/>
    <w:rsid w:val="001F2E56"/>
    <w:rsid w:val="002072C4"/>
    <w:rsid w:val="002077DF"/>
    <w:rsid w:val="002110B7"/>
    <w:rsid w:val="002128E4"/>
    <w:rsid w:val="00217F60"/>
    <w:rsid w:val="0023307A"/>
    <w:rsid w:val="00235849"/>
    <w:rsid w:val="002535D2"/>
    <w:rsid w:val="00255180"/>
    <w:rsid w:val="00263870"/>
    <w:rsid w:val="00263CA2"/>
    <w:rsid w:val="00276271"/>
    <w:rsid w:val="00291EA7"/>
    <w:rsid w:val="0029408E"/>
    <w:rsid w:val="002B179E"/>
    <w:rsid w:val="002C2529"/>
    <w:rsid w:val="002D0897"/>
    <w:rsid w:val="002E259E"/>
    <w:rsid w:val="002E4E54"/>
    <w:rsid w:val="002E5E85"/>
    <w:rsid w:val="002E7AAA"/>
    <w:rsid w:val="00316E87"/>
    <w:rsid w:val="00317407"/>
    <w:rsid w:val="00332B00"/>
    <w:rsid w:val="00333770"/>
    <w:rsid w:val="003727E9"/>
    <w:rsid w:val="0037370A"/>
    <w:rsid w:val="0038628D"/>
    <w:rsid w:val="00391976"/>
    <w:rsid w:val="00393623"/>
    <w:rsid w:val="00395108"/>
    <w:rsid w:val="003A0A6E"/>
    <w:rsid w:val="003A6128"/>
    <w:rsid w:val="003B219C"/>
    <w:rsid w:val="003B5D64"/>
    <w:rsid w:val="003D1D99"/>
    <w:rsid w:val="003D627F"/>
    <w:rsid w:val="003F1136"/>
    <w:rsid w:val="00402561"/>
    <w:rsid w:val="00415141"/>
    <w:rsid w:val="004152B7"/>
    <w:rsid w:val="00420137"/>
    <w:rsid w:val="00421500"/>
    <w:rsid w:val="00426242"/>
    <w:rsid w:val="004431B6"/>
    <w:rsid w:val="00443834"/>
    <w:rsid w:val="00455589"/>
    <w:rsid w:val="0045621F"/>
    <w:rsid w:val="00461BD7"/>
    <w:rsid w:val="00464699"/>
    <w:rsid w:val="00472984"/>
    <w:rsid w:val="00476CE2"/>
    <w:rsid w:val="0048380A"/>
    <w:rsid w:val="0049222E"/>
    <w:rsid w:val="004B6F12"/>
    <w:rsid w:val="004C505F"/>
    <w:rsid w:val="004C566A"/>
    <w:rsid w:val="004D08B2"/>
    <w:rsid w:val="004E72EA"/>
    <w:rsid w:val="004E7BEB"/>
    <w:rsid w:val="004F1ED6"/>
    <w:rsid w:val="00503C14"/>
    <w:rsid w:val="00513B46"/>
    <w:rsid w:val="00532AFE"/>
    <w:rsid w:val="00547C9C"/>
    <w:rsid w:val="00551729"/>
    <w:rsid w:val="00557A59"/>
    <w:rsid w:val="00571156"/>
    <w:rsid w:val="00575CA7"/>
    <w:rsid w:val="005772DE"/>
    <w:rsid w:val="005920FC"/>
    <w:rsid w:val="005A3CE4"/>
    <w:rsid w:val="005A6A30"/>
    <w:rsid w:val="005B2B9B"/>
    <w:rsid w:val="005B3CC4"/>
    <w:rsid w:val="005B3EED"/>
    <w:rsid w:val="005B483A"/>
    <w:rsid w:val="005B7C22"/>
    <w:rsid w:val="005C4F5E"/>
    <w:rsid w:val="005D0579"/>
    <w:rsid w:val="005D2DD5"/>
    <w:rsid w:val="005E0F91"/>
    <w:rsid w:val="005E383F"/>
    <w:rsid w:val="005E4546"/>
    <w:rsid w:val="005F438A"/>
    <w:rsid w:val="0060048F"/>
    <w:rsid w:val="00604A25"/>
    <w:rsid w:val="006114CC"/>
    <w:rsid w:val="0062626A"/>
    <w:rsid w:val="00627029"/>
    <w:rsid w:val="0063738B"/>
    <w:rsid w:val="00651FE2"/>
    <w:rsid w:val="00652079"/>
    <w:rsid w:val="0065387D"/>
    <w:rsid w:val="00663149"/>
    <w:rsid w:val="006645DD"/>
    <w:rsid w:val="00674FDE"/>
    <w:rsid w:val="006769B2"/>
    <w:rsid w:val="006874A2"/>
    <w:rsid w:val="00696BA0"/>
    <w:rsid w:val="00696E15"/>
    <w:rsid w:val="006A7DD4"/>
    <w:rsid w:val="006B61DD"/>
    <w:rsid w:val="006C49BF"/>
    <w:rsid w:val="006C52DD"/>
    <w:rsid w:val="006D373F"/>
    <w:rsid w:val="006E3084"/>
    <w:rsid w:val="006E4CEE"/>
    <w:rsid w:val="00701C47"/>
    <w:rsid w:val="007108FD"/>
    <w:rsid w:val="00716FB1"/>
    <w:rsid w:val="00721A1C"/>
    <w:rsid w:val="00721D97"/>
    <w:rsid w:val="00725544"/>
    <w:rsid w:val="00731B85"/>
    <w:rsid w:val="0074727B"/>
    <w:rsid w:val="00747919"/>
    <w:rsid w:val="00773EB8"/>
    <w:rsid w:val="00776299"/>
    <w:rsid w:val="00780729"/>
    <w:rsid w:val="00780E3A"/>
    <w:rsid w:val="0078767C"/>
    <w:rsid w:val="00791F84"/>
    <w:rsid w:val="00793149"/>
    <w:rsid w:val="007A4000"/>
    <w:rsid w:val="007A68D1"/>
    <w:rsid w:val="007A6C6E"/>
    <w:rsid w:val="007B3FAE"/>
    <w:rsid w:val="007C03E7"/>
    <w:rsid w:val="007C745F"/>
    <w:rsid w:val="007D43E4"/>
    <w:rsid w:val="007E06B3"/>
    <w:rsid w:val="007F5FFD"/>
    <w:rsid w:val="007F753A"/>
    <w:rsid w:val="007F7840"/>
    <w:rsid w:val="00805FFC"/>
    <w:rsid w:val="00813563"/>
    <w:rsid w:val="008176C3"/>
    <w:rsid w:val="00836EF9"/>
    <w:rsid w:val="0083754D"/>
    <w:rsid w:val="00850100"/>
    <w:rsid w:val="008523FD"/>
    <w:rsid w:val="00862A25"/>
    <w:rsid w:val="00865DD3"/>
    <w:rsid w:val="00876779"/>
    <w:rsid w:val="008817AF"/>
    <w:rsid w:val="00884955"/>
    <w:rsid w:val="008973F7"/>
    <w:rsid w:val="008A5765"/>
    <w:rsid w:val="008B44DA"/>
    <w:rsid w:val="008F35A8"/>
    <w:rsid w:val="008F7B15"/>
    <w:rsid w:val="00900B88"/>
    <w:rsid w:val="00904F9C"/>
    <w:rsid w:val="009059D0"/>
    <w:rsid w:val="009242DC"/>
    <w:rsid w:val="00925370"/>
    <w:rsid w:val="00934D70"/>
    <w:rsid w:val="00947F43"/>
    <w:rsid w:val="009609AF"/>
    <w:rsid w:val="00970567"/>
    <w:rsid w:val="00977C19"/>
    <w:rsid w:val="00977D90"/>
    <w:rsid w:val="00980CB8"/>
    <w:rsid w:val="00986CA0"/>
    <w:rsid w:val="009900AE"/>
    <w:rsid w:val="0099460E"/>
    <w:rsid w:val="009A375A"/>
    <w:rsid w:val="009A54C0"/>
    <w:rsid w:val="009A5DB4"/>
    <w:rsid w:val="009B2513"/>
    <w:rsid w:val="009C05A2"/>
    <w:rsid w:val="009C47B4"/>
    <w:rsid w:val="009D0E50"/>
    <w:rsid w:val="009D45DB"/>
    <w:rsid w:val="009E4A1C"/>
    <w:rsid w:val="009F5AF2"/>
    <w:rsid w:val="009F7719"/>
    <w:rsid w:val="00A01CAC"/>
    <w:rsid w:val="00A047CE"/>
    <w:rsid w:val="00A04E19"/>
    <w:rsid w:val="00A11D73"/>
    <w:rsid w:val="00A26B53"/>
    <w:rsid w:val="00A30C13"/>
    <w:rsid w:val="00A31856"/>
    <w:rsid w:val="00A32EC2"/>
    <w:rsid w:val="00A46469"/>
    <w:rsid w:val="00A52D39"/>
    <w:rsid w:val="00A64CD6"/>
    <w:rsid w:val="00A73AAA"/>
    <w:rsid w:val="00A77872"/>
    <w:rsid w:val="00A83A4D"/>
    <w:rsid w:val="00A83FAB"/>
    <w:rsid w:val="00A932E2"/>
    <w:rsid w:val="00A9534E"/>
    <w:rsid w:val="00AC1B28"/>
    <w:rsid w:val="00AC34E8"/>
    <w:rsid w:val="00AC42C5"/>
    <w:rsid w:val="00AE740B"/>
    <w:rsid w:val="00AF2EFC"/>
    <w:rsid w:val="00B0218A"/>
    <w:rsid w:val="00B02F0E"/>
    <w:rsid w:val="00B0521E"/>
    <w:rsid w:val="00B07D02"/>
    <w:rsid w:val="00B22B59"/>
    <w:rsid w:val="00B26797"/>
    <w:rsid w:val="00B32EB7"/>
    <w:rsid w:val="00B5077D"/>
    <w:rsid w:val="00B53EAB"/>
    <w:rsid w:val="00B667DC"/>
    <w:rsid w:val="00B6797D"/>
    <w:rsid w:val="00B71342"/>
    <w:rsid w:val="00B715FB"/>
    <w:rsid w:val="00B74958"/>
    <w:rsid w:val="00BA286D"/>
    <w:rsid w:val="00BA6461"/>
    <w:rsid w:val="00BB540D"/>
    <w:rsid w:val="00BC05C7"/>
    <w:rsid w:val="00BC3463"/>
    <w:rsid w:val="00BC7763"/>
    <w:rsid w:val="00BD7342"/>
    <w:rsid w:val="00BE0A46"/>
    <w:rsid w:val="00BF2ECF"/>
    <w:rsid w:val="00C02C8A"/>
    <w:rsid w:val="00C02D9C"/>
    <w:rsid w:val="00C210FC"/>
    <w:rsid w:val="00C219EA"/>
    <w:rsid w:val="00C25253"/>
    <w:rsid w:val="00C34496"/>
    <w:rsid w:val="00C37460"/>
    <w:rsid w:val="00C519ED"/>
    <w:rsid w:val="00C6023F"/>
    <w:rsid w:val="00C71D80"/>
    <w:rsid w:val="00C732D8"/>
    <w:rsid w:val="00C856DB"/>
    <w:rsid w:val="00C87608"/>
    <w:rsid w:val="00C87948"/>
    <w:rsid w:val="00C9098A"/>
    <w:rsid w:val="00C95AD5"/>
    <w:rsid w:val="00CA37F6"/>
    <w:rsid w:val="00CA5C45"/>
    <w:rsid w:val="00CB32CC"/>
    <w:rsid w:val="00CB6C42"/>
    <w:rsid w:val="00CC248A"/>
    <w:rsid w:val="00CC62D8"/>
    <w:rsid w:val="00CC7393"/>
    <w:rsid w:val="00CD6799"/>
    <w:rsid w:val="00CD7CB2"/>
    <w:rsid w:val="00CE0ABE"/>
    <w:rsid w:val="00CE2080"/>
    <w:rsid w:val="00D04AF5"/>
    <w:rsid w:val="00D0535E"/>
    <w:rsid w:val="00D13217"/>
    <w:rsid w:val="00D4082B"/>
    <w:rsid w:val="00D5098F"/>
    <w:rsid w:val="00D538C6"/>
    <w:rsid w:val="00D54D75"/>
    <w:rsid w:val="00D55232"/>
    <w:rsid w:val="00D747FE"/>
    <w:rsid w:val="00D92816"/>
    <w:rsid w:val="00DA3C1C"/>
    <w:rsid w:val="00DA442E"/>
    <w:rsid w:val="00DA5A53"/>
    <w:rsid w:val="00DB567B"/>
    <w:rsid w:val="00DB5A3B"/>
    <w:rsid w:val="00DC3362"/>
    <w:rsid w:val="00DD348F"/>
    <w:rsid w:val="00DE5AD5"/>
    <w:rsid w:val="00E05A95"/>
    <w:rsid w:val="00E161D3"/>
    <w:rsid w:val="00E3521C"/>
    <w:rsid w:val="00E363B7"/>
    <w:rsid w:val="00E44E5C"/>
    <w:rsid w:val="00E523ED"/>
    <w:rsid w:val="00EA259B"/>
    <w:rsid w:val="00EA45B9"/>
    <w:rsid w:val="00EA52A3"/>
    <w:rsid w:val="00EB2C2E"/>
    <w:rsid w:val="00EB43C6"/>
    <w:rsid w:val="00EB4894"/>
    <w:rsid w:val="00EC1A8E"/>
    <w:rsid w:val="00ED0E91"/>
    <w:rsid w:val="00F074EA"/>
    <w:rsid w:val="00F35950"/>
    <w:rsid w:val="00F37A18"/>
    <w:rsid w:val="00F55B25"/>
    <w:rsid w:val="00F5660E"/>
    <w:rsid w:val="00F56DAC"/>
    <w:rsid w:val="00F57129"/>
    <w:rsid w:val="00F6087E"/>
    <w:rsid w:val="00F65505"/>
    <w:rsid w:val="00F73582"/>
    <w:rsid w:val="00F849A5"/>
    <w:rsid w:val="00F925CC"/>
    <w:rsid w:val="00F9540A"/>
    <w:rsid w:val="00F97E80"/>
    <w:rsid w:val="00FA3BBC"/>
    <w:rsid w:val="00FB32FF"/>
    <w:rsid w:val="00FB35F0"/>
    <w:rsid w:val="00FB6455"/>
    <w:rsid w:val="00FB69B6"/>
    <w:rsid w:val="00FC127A"/>
    <w:rsid w:val="00FC3B60"/>
    <w:rsid w:val="00FD55C9"/>
    <w:rsid w:val="00FE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6901">
      <w:bodyDiv w:val="1"/>
      <w:marLeft w:val="0"/>
      <w:marRight w:val="0"/>
      <w:marTop w:val="0"/>
      <w:marBottom w:val="0"/>
      <w:divBdr>
        <w:top w:val="none" w:sz="0" w:space="0" w:color="auto"/>
        <w:left w:val="none" w:sz="0" w:space="0" w:color="auto"/>
        <w:bottom w:val="none" w:sz="0" w:space="0" w:color="auto"/>
        <w:right w:val="none" w:sz="0" w:space="0" w:color="auto"/>
      </w:divBdr>
      <w:divsChild>
        <w:div w:id="1026561748">
          <w:marLeft w:val="0"/>
          <w:marRight w:val="0"/>
          <w:marTop w:val="0"/>
          <w:marBottom w:val="0"/>
          <w:divBdr>
            <w:top w:val="none" w:sz="0" w:space="0" w:color="auto"/>
            <w:left w:val="none" w:sz="0" w:space="0" w:color="auto"/>
            <w:bottom w:val="none" w:sz="0" w:space="0" w:color="auto"/>
            <w:right w:val="none" w:sz="0" w:space="0" w:color="auto"/>
          </w:divBdr>
          <w:divsChild>
            <w:div w:id="1113212137">
              <w:marLeft w:val="0"/>
              <w:marRight w:val="0"/>
              <w:marTop w:val="0"/>
              <w:marBottom w:val="0"/>
              <w:divBdr>
                <w:top w:val="none" w:sz="0" w:space="0" w:color="auto"/>
                <w:left w:val="none" w:sz="0" w:space="0" w:color="auto"/>
                <w:bottom w:val="none" w:sz="0" w:space="0" w:color="auto"/>
                <w:right w:val="none" w:sz="0" w:space="0" w:color="auto"/>
              </w:divBdr>
              <w:divsChild>
                <w:div w:id="1563325757">
                  <w:marLeft w:val="0"/>
                  <w:marRight w:val="0"/>
                  <w:marTop w:val="0"/>
                  <w:marBottom w:val="0"/>
                  <w:divBdr>
                    <w:top w:val="none" w:sz="0" w:space="0" w:color="auto"/>
                    <w:left w:val="none" w:sz="0" w:space="0" w:color="auto"/>
                    <w:bottom w:val="none" w:sz="0" w:space="0" w:color="auto"/>
                    <w:right w:val="none" w:sz="0" w:space="0" w:color="auto"/>
                  </w:divBdr>
                  <w:divsChild>
                    <w:div w:id="414322651">
                      <w:marLeft w:val="0"/>
                      <w:marRight w:val="0"/>
                      <w:marTop w:val="0"/>
                      <w:marBottom w:val="0"/>
                      <w:divBdr>
                        <w:top w:val="none" w:sz="0" w:space="0" w:color="auto"/>
                        <w:left w:val="none" w:sz="0" w:space="0" w:color="auto"/>
                        <w:bottom w:val="none" w:sz="0" w:space="0" w:color="auto"/>
                        <w:right w:val="none" w:sz="0" w:space="0" w:color="auto"/>
                      </w:divBdr>
                      <w:divsChild>
                        <w:div w:id="633367076">
                          <w:marLeft w:val="0"/>
                          <w:marRight w:val="0"/>
                          <w:marTop w:val="0"/>
                          <w:marBottom w:val="0"/>
                          <w:divBdr>
                            <w:top w:val="none" w:sz="0" w:space="0" w:color="auto"/>
                            <w:left w:val="none" w:sz="0" w:space="0" w:color="auto"/>
                            <w:bottom w:val="none" w:sz="0" w:space="0" w:color="auto"/>
                            <w:right w:val="none" w:sz="0" w:space="0" w:color="auto"/>
                          </w:divBdr>
                          <w:divsChild>
                            <w:div w:id="1582136937">
                              <w:marLeft w:val="0"/>
                              <w:marRight w:val="0"/>
                              <w:marTop w:val="0"/>
                              <w:marBottom w:val="0"/>
                              <w:divBdr>
                                <w:top w:val="none" w:sz="0" w:space="0" w:color="auto"/>
                                <w:left w:val="none" w:sz="0" w:space="0" w:color="auto"/>
                                <w:bottom w:val="none" w:sz="0" w:space="0" w:color="auto"/>
                                <w:right w:val="none" w:sz="0" w:space="0" w:color="auto"/>
                              </w:divBdr>
                              <w:divsChild>
                                <w:div w:id="58672322">
                                  <w:marLeft w:val="0"/>
                                  <w:marRight w:val="0"/>
                                  <w:marTop w:val="0"/>
                                  <w:marBottom w:val="0"/>
                                  <w:divBdr>
                                    <w:top w:val="none" w:sz="0" w:space="0" w:color="auto"/>
                                    <w:left w:val="none" w:sz="0" w:space="0" w:color="auto"/>
                                    <w:bottom w:val="none" w:sz="0" w:space="0" w:color="auto"/>
                                    <w:right w:val="none" w:sz="0" w:space="0" w:color="auto"/>
                                  </w:divBdr>
                                  <w:divsChild>
                                    <w:div w:id="719668342">
                                      <w:marLeft w:val="0"/>
                                      <w:marRight w:val="0"/>
                                      <w:marTop w:val="0"/>
                                      <w:marBottom w:val="0"/>
                                      <w:divBdr>
                                        <w:top w:val="none" w:sz="0" w:space="0" w:color="auto"/>
                                        <w:left w:val="none" w:sz="0" w:space="0" w:color="auto"/>
                                        <w:bottom w:val="none" w:sz="0" w:space="0" w:color="auto"/>
                                        <w:right w:val="none" w:sz="0" w:space="0" w:color="auto"/>
                                      </w:divBdr>
                                      <w:divsChild>
                                        <w:div w:id="1647860113">
                                          <w:marLeft w:val="0"/>
                                          <w:marRight w:val="0"/>
                                          <w:marTop w:val="0"/>
                                          <w:marBottom w:val="0"/>
                                          <w:divBdr>
                                            <w:top w:val="none" w:sz="0" w:space="0" w:color="auto"/>
                                            <w:left w:val="none" w:sz="0" w:space="0" w:color="auto"/>
                                            <w:bottom w:val="none" w:sz="0" w:space="0" w:color="auto"/>
                                            <w:right w:val="none" w:sz="0" w:space="0" w:color="auto"/>
                                          </w:divBdr>
                                          <w:divsChild>
                                            <w:div w:id="6739207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ines.org.uk/em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nf.nic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nf.nice.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collections/immunisation-against-infectious-disease-the-green-bo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3C29D8-D0A4-4024-BFC8-6D9AA4516554}"/>
      </w:docPartPr>
      <w:docPartBody>
        <w:p w:rsidR="00901713" w:rsidRDefault="00942D98">
          <w:r w:rsidRPr="0068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F"/>
    <w:rsid w:val="001113B0"/>
    <w:rsid w:val="00347171"/>
    <w:rsid w:val="006F3DD1"/>
    <w:rsid w:val="00733BA6"/>
    <w:rsid w:val="007A53FF"/>
    <w:rsid w:val="00831DB1"/>
    <w:rsid w:val="00901713"/>
    <w:rsid w:val="00942D98"/>
    <w:rsid w:val="00A80557"/>
    <w:rsid w:val="00AC01BE"/>
    <w:rsid w:val="00AF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CBA9-F2D1-4D87-994C-42A187AC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0</TotalTime>
  <Pages>7</Pages>
  <Words>2022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Seldon Sarrah</cp:lastModifiedBy>
  <cp:revision>2</cp:revision>
  <cp:lastPrinted>2015-11-03T14:08:00Z</cp:lastPrinted>
  <dcterms:created xsi:type="dcterms:W3CDTF">2019-12-02T17:10:00Z</dcterms:created>
  <dcterms:modified xsi:type="dcterms:W3CDTF">2019-12-02T17:10:00Z</dcterms:modified>
</cp:coreProperties>
</file>