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053" w:rsidRDefault="00B01634" w:rsidP="00B72053">
      <w:pPr>
        <w:jc w:val="center"/>
        <w:rPr>
          <w:rFonts w:ascii="Arial" w:hAnsi="Arial" w:cs="Arial"/>
          <w:b/>
          <w:sz w:val="24"/>
          <w:szCs w:val="24"/>
        </w:rPr>
      </w:pPr>
      <w:r>
        <w:rPr>
          <w:rFonts w:ascii="Arial" w:hAnsi="Arial" w:cs="Arial"/>
          <w:b/>
          <w:sz w:val="24"/>
          <w:szCs w:val="24"/>
        </w:rPr>
        <w:t xml:space="preserve"> </w:t>
      </w:r>
    </w:p>
    <w:p w:rsidR="00B72053" w:rsidRPr="00BF193A" w:rsidRDefault="00984262" w:rsidP="00B72053">
      <w:pPr>
        <w:jc w:val="center"/>
        <w:rPr>
          <w:rFonts w:ascii="Arial" w:hAnsi="Arial" w:cs="Arial"/>
          <w:b/>
        </w:rPr>
      </w:pPr>
      <w:r>
        <w:rPr>
          <w:rFonts w:ascii="Arial" w:hAnsi="Arial" w:cs="Arial"/>
          <w:b/>
          <w:sz w:val="28"/>
          <w:szCs w:val="28"/>
        </w:rPr>
        <w:t>County Durham and Darlington</w:t>
      </w:r>
    </w:p>
    <w:p w:rsidR="00B72053" w:rsidRDefault="00B72053" w:rsidP="00B72053">
      <w:pPr>
        <w:jc w:val="center"/>
        <w:rPr>
          <w:b/>
          <w:sz w:val="28"/>
          <w:szCs w:val="28"/>
        </w:rPr>
      </w:pPr>
      <w:r w:rsidRPr="00BF193A">
        <w:rPr>
          <w:rFonts w:ascii="Arial" w:hAnsi="Arial" w:cs="Arial"/>
          <w:b/>
          <w:sz w:val="28"/>
          <w:szCs w:val="28"/>
        </w:rPr>
        <w:t>Area Prescribing Committee</w:t>
      </w:r>
    </w:p>
    <w:p w:rsidR="00B72053" w:rsidRDefault="00B72053" w:rsidP="00B72053">
      <w:pPr>
        <w:jc w:val="center"/>
        <w:rPr>
          <w:rFonts w:ascii="Arial" w:hAnsi="Arial" w:cs="Arial"/>
          <w:b/>
          <w:sz w:val="24"/>
          <w:szCs w:val="24"/>
        </w:rPr>
      </w:pPr>
    </w:p>
    <w:p w:rsidR="00B72053" w:rsidRDefault="00B72053" w:rsidP="00B72053">
      <w:pPr>
        <w:rPr>
          <w:rFonts w:ascii="Arial" w:hAnsi="Arial" w:cs="Arial"/>
          <w:b/>
          <w:sz w:val="24"/>
          <w:szCs w:val="24"/>
        </w:rPr>
      </w:pPr>
      <w:r>
        <w:rPr>
          <w:rFonts w:ascii="Arial" w:hAnsi="Arial" w:cs="Arial"/>
          <w:sz w:val="24"/>
          <w:szCs w:val="24"/>
        </w:rPr>
        <w:t xml:space="preserve">Summary of decisions made regarding new product requests considered at a meeting of the Committee on </w:t>
      </w:r>
      <w:r w:rsidR="00213D89">
        <w:rPr>
          <w:rFonts w:ascii="Arial" w:hAnsi="Arial" w:cs="Arial"/>
          <w:b/>
          <w:sz w:val="24"/>
          <w:szCs w:val="24"/>
        </w:rPr>
        <w:t xml:space="preserve">Thursday </w:t>
      </w:r>
      <w:r w:rsidR="00115907">
        <w:rPr>
          <w:rFonts w:ascii="Arial" w:hAnsi="Arial" w:cs="Arial"/>
          <w:b/>
          <w:sz w:val="24"/>
          <w:szCs w:val="24"/>
        </w:rPr>
        <w:t>6</w:t>
      </w:r>
      <w:r w:rsidR="00C878EC" w:rsidRPr="00C878EC">
        <w:rPr>
          <w:rFonts w:ascii="Arial" w:hAnsi="Arial" w:cs="Arial"/>
          <w:b/>
          <w:sz w:val="24"/>
          <w:szCs w:val="24"/>
          <w:vertAlign w:val="superscript"/>
        </w:rPr>
        <w:t>th</w:t>
      </w:r>
      <w:r w:rsidR="00C878EC">
        <w:rPr>
          <w:rFonts w:ascii="Arial" w:hAnsi="Arial" w:cs="Arial"/>
          <w:b/>
          <w:sz w:val="24"/>
          <w:szCs w:val="24"/>
        </w:rPr>
        <w:t xml:space="preserve"> </w:t>
      </w:r>
      <w:r w:rsidR="00115907">
        <w:rPr>
          <w:rFonts w:ascii="Arial" w:hAnsi="Arial" w:cs="Arial"/>
          <w:b/>
          <w:sz w:val="24"/>
          <w:szCs w:val="24"/>
        </w:rPr>
        <w:t>July</w:t>
      </w:r>
      <w:r w:rsidR="00C629B7">
        <w:rPr>
          <w:rFonts w:ascii="Arial" w:hAnsi="Arial" w:cs="Arial"/>
          <w:b/>
          <w:sz w:val="24"/>
          <w:szCs w:val="24"/>
        </w:rPr>
        <w:t xml:space="preserve"> 2017</w:t>
      </w:r>
    </w:p>
    <w:p w:rsidR="004424E7" w:rsidRDefault="004424E7" w:rsidP="00B72053">
      <w:pPr>
        <w:rPr>
          <w:rFonts w:ascii="Arial" w:hAnsi="Arial" w:cs="Arial"/>
          <w:b/>
          <w:sz w:val="24"/>
          <w:szCs w:val="24"/>
        </w:rPr>
      </w:pPr>
    </w:p>
    <w:p w:rsidR="004424E7" w:rsidRDefault="004424E7" w:rsidP="004424E7">
      <w:pPr>
        <w:rPr>
          <w:rFonts w:ascii="Arial" w:hAnsi="Arial" w:cs="Arial"/>
          <w:b/>
          <w:sz w:val="24"/>
          <w:szCs w:val="24"/>
        </w:rPr>
      </w:pPr>
      <w:r>
        <w:rPr>
          <w:rFonts w:ascii="Arial" w:hAnsi="Arial" w:cs="Arial"/>
          <w:b/>
          <w:sz w:val="24"/>
          <w:szCs w:val="24"/>
        </w:rPr>
        <w:t>Classification of products</w:t>
      </w:r>
      <w:r w:rsidRPr="004424E7">
        <w:rPr>
          <w:rFonts w:ascii="Arial" w:hAnsi="Arial" w:cs="Arial"/>
          <w:b/>
          <w:sz w:val="24"/>
          <w:szCs w:val="24"/>
        </w:rPr>
        <w:t>:</w:t>
      </w:r>
      <w:bookmarkStart w:id="0" w:name="OLE_LINK2"/>
    </w:p>
    <w:bookmarkEnd w:id="0"/>
    <w:p w:rsidR="00DA1784" w:rsidRPr="00DA1784" w:rsidRDefault="00DA1784" w:rsidP="00DA1784">
      <w:pPr>
        <w:shd w:val="clear" w:color="auto" w:fill="FFFFFF"/>
        <w:ind w:left="720" w:hanging="720"/>
        <w:rPr>
          <w:rFonts w:ascii="Helvetica" w:hAnsi="Helvetica" w:cs="Helvetica"/>
          <w:color w:val="333333"/>
          <w:lang w:val="en"/>
        </w:rPr>
      </w:pPr>
      <w:r>
        <w:rPr>
          <w:rFonts w:ascii="Arial" w:hAnsi="Arial" w:cs="Arial"/>
          <w:b/>
          <w:color w:val="FFFFFF"/>
          <w:sz w:val="22"/>
          <w:highlight w:val="green"/>
        </w:rPr>
        <w:t>G</w:t>
      </w:r>
      <w:r>
        <w:rPr>
          <w:rFonts w:ascii="Helvetica" w:hAnsi="Helvetica" w:cs="Helvetica"/>
          <w:b/>
          <w:bCs/>
          <w:color w:val="333333"/>
          <w:lang w:val="en"/>
        </w:rPr>
        <w:tab/>
      </w:r>
      <w:r w:rsidRPr="00DA1784">
        <w:rPr>
          <w:rFonts w:ascii="Helvetica" w:hAnsi="Helvetica" w:cs="Helvetica"/>
          <w:b/>
          <w:bCs/>
          <w:color w:val="333333"/>
          <w:lang w:val="en"/>
        </w:rPr>
        <w:t>Green drug</w:t>
      </w:r>
      <w:r w:rsidRPr="00DA1784">
        <w:rPr>
          <w:rFonts w:ascii="Helvetica" w:hAnsi="Helvetica" w:cs="Helvetica"/>
          <w:color w:val="333333"/>
          <w:lang w:val="en"/>
        </w:rPr>
        <w:t xml:space="preserve"> - Can be initiated and prescribed in all care settings </w:t>
      </w:r>
      <w:r w:rsidR="00BE4983">
        <w:rPr>
          <w:rFonts w:ascii="Helvetica" w:hAnsi="Helvetica" w:cs="Helvetica"/>
          <w:noProof/>
          <w:color w:val="333333"/>
        </w:rPr>
        <w:drawing>
          <wp:inline distT="0" distB="0" distL="0" distR="0" wp14:anchorId="70D7D4F9" wp14:editId="2312575C">
            <wp:extent cx="85725" cy="85725"/>
            <wp:effectExtent l="0" t="0" r="9525" b="9525"/>
            <wp:docPr id="2" name="Picture 2" descr="Description: Green Altern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Green Alternativ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A1784">
        <w:rPr>
          <w:rFonts w:ascii="Helvetica" w:hAnsi="Helvetica" w:cs="Helvetica"/>
          <w:color w:val="333333"/>
          <w:lang w:val="en"/>
        </w:rPr>
        <w:t xml:space="preserve">- Second line / alternative green drug </w:t>
      </w:r>
    </w:p>
    <w:p w:rsidR="00DA1784" w:rsidRPr="00DA1784" w:rsidRDefault="00DA1784" w:rsidP="00DA1784">
      <w:pPr>
        <w:shd w:val="clear" w:color="auto" w:fill="FFFFFF"/>
        <w:ind w:left="720" w:hanging="720"/>
        <w:rPr>
          <w:rFonts w:ascii="Helvetica" w:hAnsi="Helvetica" w:cs="Helvetica"/>
          <w:color w:val="333333"/>
          <w:lang w:val="en"/>
        </w:rPr>
      </w:pPr>
      <w:proofErr w:type="gramStart"/>
      <w:r>
        <w:rPr>
          <w:rFonts w:ascii="Arial" w:hAnsi="Arial" w:cs="Arial"/>
          <w:b/>
          <w:color w:val="FFFFFF"/>
          <w:sz w:val="22"/>
          <w:highlight w:val="green"/>
        </w:rPr>
        <w:t>G+</w:t>
      </w:r>
      <w:r>
        <w:rPr>
          <w:rFonts w:ascii="Arial" w:hAnsi="Arial" w:cs="Arial"/>
          <w:b/>
          <w:color w:val="FFFFFF"/>
          <w:sz w:val="22"/>
        </w:rPr>
        <w:t xml:space="preserve"> </w:t>
      </w:r>
      <w:r>
        <w:rPr>
          <w:rFonts w:ascii="Arial" w:hAnsi="Arial" w:cs="Arial"/>
          <w:b/>
          <w:color w:val="FFFFFF"/>
          <w:sz w:val="22"/>
        </w:rPr>
        <w:tab/>
      </w:r>
      <w:r w:rsidR="00BE4983">
        <w:rPr>
          <w:rFonts w:ascii="Helvetica" w:hAnsi="Helvetica" w:cs="Helvetica"/>
          <w:noProof/>
          <w:color w:val="333333"/>
        </w:rPr>
        <w:drawing>
          <wp:inline distT="0" distB="0" distL="0" distR="0" wp14:anchorId="11AE247D" wp14:editId="60BA8E80">
            <wp:extent cx="85725" cy="85725"/>
            <wp:effectExtent l="0" t="0" r="9525" b="9525"/>
            <wp:docPr id="3" name="Picture 3" descr="Description: Green pl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Green plu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A1784">
        <w:rPr>
          <w:rFonts w:ascii="Helvetica" w:hAnsi="Helvetica" w:cs="Helvetica"/>
          <w:b/>
          <w:bCs/>
          <w:color w:val="333333"/>
          <w:lang w:val="en"/>
        </w:rPr>
        <w:t>Green+ drug</w:t>
      </w:r>
      <w:r w:rsidRPr="00DA1784">
        <w:rPr>
          <w:rFonts w:ascii="Helvetica" w:hAnsi="Helvetica" w:cs="Helvetica"/>
          <w:color w:val="333333"/>
          <w:lang w:val="en"/>
        </w:rPr>
        <w:t xml:space="preserve"> Specialist initiation / recommendation.</w:t>
      </w:r>
      <w:proofErr w:type="gramEnd"/>
      <w:r w:rsidRPr="00DA1784">
        <w:rPr>
          <w:rFonts w:ascii="Helvetica" w:hAnsi="Helvetica" w:cs="Helvetica"/>
          <w:color w:val="333333"/>
          <w:lang w:val="en"/>
        </w:rPr>
        <w:t xml:space="preserve">  Can be recommended by a specialist for initiation in primary care; or be initiated by a specialist and transferred to primary care once the patient </w:t>
      </w:r>
      <w:proofErr w:type="spellStart"/>
      <w:r w:rsidRPr="00DA1784">
        <w:rPr>
          <w:rFonts w:ascii="Helvetica" w:hAnsi="Helvetica" w:cs="Helvetica"/>
          <w:color w:val="333333"/>
          <w:lang w:val="en"/>
        </w:rPr>
        <w:t>stabilised</w:t>
      </w:r>
      <w:proofErr w:type="spellEnd"/>
      <w:r w:rsidRPr="00DA1784">
        <w:rPr>
          <w:rFonts w:ascii="Helvetica" w:hAnsi="Helvetica" w:cs="Helvetica"/>
          <w:color w:val="333333"/>
          <w:lang w:val="en"/>
        </w:rPr>
        <w:t xml:space="preserve">. In some cases there may be a further restriction for use outlined - these will be defined in each case. </w:t>
      </w:r>
    </w:p>
    <w:p w:rsidR="00DA1784" w:rsidRPr="00DA1784" w:rsidRDefault="00DA1784" w:rsidP="00DA1784">
      <w:pPr>
        <w:shd w:val="clear" w:color="auto" w:fill="FFFFFF"/>
        <w:ind w:left="720" w:hanging="720"/>
        <w:rPr>
          <w:rFonts w:ascii="Helvetica" w:hAnsi="Helvetica" w:cs="Helvetica"/>
          <w:color w:val="333333"/>
          <w:lang w:val="en"/>
        </w:rPr>
      </w:pPr>
      <w:r w:rsidRPr="00DA1784">
        <w:rPr>
          <w:rFonts w:ascii="Arial" w:hAnsi="Arial" w:cs="Arial"/>
          <w:b/>
          <w:color w:val="FFFFFF"/>
          <w:sz w:val="22"/>
          <w:highlight w:val="yellow"/>
        </w:rPr>
        <w:t>A</w:t>
      </w:r>
      <w:r w:rsidRPr="00DA1784">
        <w:rPr>
          <w:rFonts w:ascii="Helvetica" w:hAnsi="Helvetica" w:cs="Helvetica"/>
          <w:b/>
          <w:noProof/>
          <w:color w:val="333333"/>
        </w:rPr>
        <w:t xml:space="preserve"> </w:t>
      </w:r>
      <w:r>
        <w:rPr>
          <w:rFonts w:ascii="Helvetica" w:hAnsi="Helvetica" w:cs="Helvetica"/>
          <w:noProof/>
          <w:color w:val="333333"/>
        </w:rPr>
        <w:tab/>
      </w:r>
      <w:r w:rsidR="00BE4983">
        <w:rPr>
          <w:rFonts w:ascii="Helvetica" w:hAnsi="Helvetica" w:cs="Helvetica"/>
          <w:noProof/>
          <w:color w:val="333333"/>
        </w:rPr>
        <w:drawing>
          <wp:inline distT="0" distB="0" distL="0" distR="0" wp14:anchorId="6FF99C17" wp14:editId="55E60528">
            <wp:extent cx="85725" cy="85725"/>
            <wp:effectExtent l="0" t="0" r="9525" b="9525"/>
            <wp:docPr id="4" name="Picture 4" descr="Description: Am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Amb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A1784">
        <w:rPr>
          <w:rFonts w:ascii="Helvetica" w:hAnsi="Helvetica" w:cs="Helvetica"/>
          <w:b/>
          <w:bCs/>
          <w:color w:val="333333"/>
          <w:lang w:val="en"/>
        </w:rPr>
        <w:t>Amber drug</w:t>
      </w:r>
      <w:r w:rsidRPr="00DA1784">
        <w:rPr>
          <w:rFonts w:ascii="Helvetica" w:hAnsi="Helvetica" w:cs="Helvetica"/>
          <w:color w:val="333333"/>
          <w:lang w:val="en"/>
        </w:rPr>
        <w:t xml:space="preserve"> - These are specialist drugs which must be initiated by the specialist, but with the potential to transfer to primary care within written and agreed shared care protocols and according to the agreed process for transfer of care </w:t>
      </w:r>
    </w:p>
    <w:p w:rsidR="00DA1784" w:rsidRPr="00DA1784" w:rsidRDefault="00DA1784" w:rsidP="00DA1784">
      <w:pPr>
        <w:shd w:val="clear" w:color="auto" w:fill="FFFFFF"/>
        <w:ind w:left="720" w:hanging="720"/>
        <w:rPr>
          <w:rFonts w:ascii="Helvetica" w:hAnsi="Helvetica" w:cs="Helvetica"/>
          <w:color w:val="333333"/>
          <w:lang w:val="en"/>
        </w:rPr>
      </w:pPr>
      <w:r>
        <w:rPr>
          <w:rFonts w:ascii="Arial" w:hAnsi="Arial" w:cs="Arial"/>
          <w:b/>
          <w:color w:val="FFFFFF"/>
          <w:sz w:val="22"/>
          <w:highlight w:val="red"/>
        </w:rPr>
        <w:t>R</w:t>
      </w:r>
      <w:r w:rsidRPr="00DA1784">
        <w:rPr>
          <w:rFonts w:ascii="Helvetica" w:hAnsi="Helvetica" w:cs="Helvetica"/>
          <w:noProof/>
          <w:color w:val="333333"/>
        </w:rPr>
        <w:t xml:space="preserve"> </w:t>
      </w:r>
      <w:r>
        <w:rPr>
          <w:rFonts w:ascii="Helvetica" w:hAnsi="Helvetica" w:cs="Helvetica"/>
          <w:noProof/>
          <w:color w:val="333333"/>
        </w:rPr>
        <w:tab/>
      </w:r>
      <w:r w:rsidR="00BE4983">
        <w:rPr>
          <w:rFonts w:ascii="Helvetica" w:hAnsi="Helvetica" w:cs="Helvetica"/>
          <w:noProof/>
          <w:color w:val="333333"/>
        </w:rPr>
        <w:drawing>
          <wp:inline distT="0" distB="0" distL="0" distR="0" wp14:anchorId="7460B176" wp14:editId="3C84E538">
            <wp:extent cx="85725" cy="85725"/>
            <wp:effectExtent l="0" t="0" r="9525" b="9525"/>
            <wp:docPr id="5" name="Picture 5" descr="Description: 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R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A1784">
        <w:rPr>
          <w:rFonts w:ascii="Helvetica" w:hAnsi="Helvetica" w:cs="Helvetica"/>
          <w:b/>
          <w:bCs/>
          <w:color w:val="333333"/>
          <w:lang w:val="en"/>
        </w:rPr>
        <w:t>Red drug</w:t>
      </w:r>
      <w:r w:rsidRPr="00DA1784">
        <w:rPr>
          <w:rFonts w:ascii="Helvetica" w:hAnsi="Helvetica" w:cs="Helvetica"/>
          <w:color w:val="333333"/>
          <w:lang w:val="en"/>
        </w:rPr>
        <w:t xml:space="preserve"> - Drugs that should remain under the total responsibility of the specialist. Usually considered as “hospital only” drugs </w:t>
      </w:r>
    </w:p>
    <w:p w:rsidR="00DA1784" w:rsidRPr="00DA1784" w:rsidRDefault="00BE4983" w:rsidP="00DA1784">
      <w:pPr>
        <w:shd w:val="clear" w:color="auto" w:fill="FFFFFF"/>
        <w:ind w:left="720" w:hanging="720"/>
        <w:rPr>
          <w:rFonts w:ascii="Helvetica" w:hAnsi="Helvetica" w:cs="Helvetica"/>
          <w:color w:val="333333"/>
          <w:lang w:val="en"/>
        </w:rPr>
      </w:pPr>
      <w:r>
        <w:rPr>
          <w:rFonts w:ascii="Helvetica" w:hAnsi="Helvetica" w:cs="Helvetica"/>
          <w:noProof/>
          <w:color w:val="333333"/>
        </w:rPr>
        <w:drawing>
          <wp:inline distT="0" distB="0" distL="0" distR="0" wp14:anchorId="515A57A8" wp14:editId="11E1985C">
            <wp:extent cx="85725" cy="85725"/>
            <wp:effectExtent l="0" t="0" r="9525" b="9525"/>
            <wp:docPr id="6" name="Picture 6" descr="Description: Not approv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Not approv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00DA1784">
        <w:rPr>
          <w:rFonts w:ascii="Helvetica" w:hAnsi="Helvetica" w:cs="Helvetica"/>
          <w:noProof/>
          <w:color w:val="333333"/>
        </w:rPr>
        <w:tab/>
      </w:r>
      <w:r w:rsidR="00DA1784" w:rsidRPr="00DA1784">
        <w:rPr>
          <w:rFonts w:ascii="Helvetica" w:hAnsi="Helvetica" w:cs="Helvetica"/>
          <w:b/>
          <w:bCs/>
          <w:color w:val="333333"/>
          <w:lang w:val="en"/>
        </w:rPr>
        <w:t>Not Approved</w:t>
      </w:r>
      <w:r w:rsidR="00DA1784" w:rsidRPr="00DA1784">
        <w:rPr>
          <w:rFonts w:ascii="Helvetica" w:hAnsi="Helvetica" w:cs="Helvetica"/>
          <w:color w:val="333333"/>
          <w:lang w:val="en"/>
        </w:rPr>
        <w:t xml:space="preserve"> - Drugs that have been considered by the APC or other approved body and are not approved for prescribing within County Durham &amp; Darlington. </w:t>
      </w:r>
    </w:p>
    <w:p w:rsidR="00DA1784" w:rsidRPr="00DA1784" w:rsidRDefault="00BE4983" w:rsidP="00DA1784">
      <w:pPr>
        <w:shd w:val="clear" w:color="auto" w:fill="FFFFFF"/>
        <w:ind w:left="720" w:hanging="720"/>
        <w:rPr>
          <w:rFonts w:ascii="Helvetica" w:hAnsi="Helvetica" w:cs="Helvetica"/>
          <w:color w:val="333333"/>
          <w:lang w:val="en"/>
        </w:rPr>
      </w:pPr>
      <w:r>
        <w:rPr>
          <w:rFonts w:ascii="Helvetica" w:hAnsi="Helvetica" w:cs="Helvetica"/>
          <w:noProof/>
          <w:color w:val="333333"/>
        </w:rPr>
        <w:drawing>
          <wp:inline distT="0" distB="0" distL="0" distR="0" wp14:anchorId="169EAA1C" wp14:editId="5FF0BFD9">
            <wp:extent cx="85725" cy="85725"/>
            <wp:effectExtent l="0" t="0" r="9525" b="9525"/>
            <wp:docPr id="7" name="Picture 7" descr="Description: Not yet Review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Not yet Review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00DA1784">
        <w:rPr>
          <w:rFonts w:ascii="Helvetica" w:hAnsi="Helvetica" w:cs="Helvetica"/>
          <w:noProof/>
          <w:color w:val="333333"/>
        </w:rPr>
        <w:tab/>
      </w:r>
      <w:r w:rsidR="00DA1784" w:rsidRPr="00DA1784">
        <w:rPr>
          <w:rFonts w:ascii="Helvetica" w:hAnsi="Helvetica" w:cs="Helvetica"/>
          <w:b/>
          <w:bCs/>
          <w:color w:val="333333"/>
          <w:lang w:val="en"/>
        </w:rPr>
        <w:t>Not Reviewed</w:t>
      </w:r>
      <w:r w:rsidR="00DA1784" w:rsidRPr="00DA1784">
        <w:rPr>
          <w:rFonts w:ascii="Helvetica" w:hAnsi="Helvetica" w:cs="Helvetica"/>
          <w:color w:val="333333"/>
          <w:lang w:val="en"/>
        </w:rPr>
        <w:t xml:space="preserve"> - Drugs that haven’t been reviewed by the APC yet. This usually means that no application has been received or that an application is in progress. These drugs are not normally considered appropriate for prescribing in County Durham &amp; Darlington. </w:t>
      </w:r>
    </w:p>
    <w:p w:rsidR="00DA1784" w:rsidRPr="00DA1784" w:rsidRDefault="00BE4983" w:rsidP="00DA1784">
      <w:pPr>
        <w:shd w:val="clear" w:color="auto" w:fill="FFFFFF"/>
        <w:rPr>
          <w:rFonts w:ascii="Helvetica" w:hAnsi="Helvetica" w:cs="Helvetica"/>
          <w:color w:val="333333"/>
          <w:lang w:val="en"/>
        </w:rPr>
      </w:pPr>
      <w:r>
        <w:rPr>
          <w:rFonts w:ascii="Helvetica" w:hAnsi="Helvetica" w:cs="Helvetica"/>
          <w:noProof/>
          <w:color w:val="333333"/>
        </w:rPr>
        <w:drawing>
          <wp:inline distT="0" distB="0" distL="0" distR="0" wp14:anchorId="31FCD335" wp14:editId="4B3F56E5">
            <wp:extent cx="85725" cy="95250"/>
            <wp:effectExtent l="0" t="0" r="9525" b="0"/>
            <wp:docPr id="8" name="Picture 8" descr="Description: Unclas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Unclass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5725" cy="95250"/>
                    </a:xfrm>
                    <a:prstGeom prst="rect">
                      <a:avLst/>
                    </a:prstGeom>
                    <a:noFill/>
                    <a:ln>
                      <a:noFill/>
                    </a:ln>
                  </pic:spPr>
                </pic:pic>
              </a:graphicData>
            </a:graphic>
          </wp:inline>
        </w:drawing>
      </w:r>
      <w:r w:rsidR="00DA1784">
        <w:rPr>
          <w:rFonts w:ascii="Helvetica" w:hAnsi="Helvetica" w:cs="Helvetica"/>
          <w:noProof/>
          <w:color w:val="333333"/>
        </w:rPr>
        <w:tab/>
      </w:r>
      <w:r w:rsidR="00DA1784" w:rsidRPr="00DA1784">
        <w:rPr>
          <w:rFonts w:ascii="Helvetica" w:hAnsi="Helvetica" w:cs="Helvetica"/>
          <w:b/>
          <w:bCs/>
          <w:color w:val="333333"/>
          <w:lang w:val="en"/>
        </w:rPr>
        <w:t>Unclassed Drug</w:t>
      </w:r>
      <w:r w:rsidR="00DA1784" w:rsidRPr="00DA1784">
        <w:rPr>
          <w:rFonts w:ascii="Helvetica" w:hAnsi="Helvetica" w:cs="Helvetica"/>
          <w:color w:val="333333"/>
          <w:lang w:val="en"/>
        </w:rPr>
        <w:t xml:space="preserve"> - Drugs that do not fall into one of the above categories </w:t>
      </w:r>
    </w:p>
    <w:p w:rsidR="004424E7" w:rsidRPr="004424E7" w:rsidRDefault="004424E7" w:rsidP="00B72053">
      <w:pPr>
        <w:rPr>
          <w:rFonts w:ascii="Arial" w:hAnsi="Arial" w:cs="Arial"/>
          <w:b/>
          <w:sz w:val="24"/>
          <w:szCs w:val="2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58"/>
        <w:gridCol w:w="1028"/>
        <w:gridCol w:w="83"/>
        <w:gridCol w:w="804"/>
        <w:gridCol w:w="46"/>
        <w:gridCol w:w="29"/>
        <w:gridCol w:w="963"/>
        <w:gridCol w:w="34"/>
        <w:gridCol w:w="83"/>
        <w:gridCol w:w="4860"/>
      </w:tblGrid>
      <w:tr w:rsidR="00601886" w:rsidRPr="000E3016" w:rsidTr="008B3ED1">
        <w:trPr>
          <w:cantSplit/>
          <w:tblHeader/>
        </w:trPr>
        <w:tc>
          <w:tcPr>
            <w:tcW w:w="2258" w:type="dxa"/>
            <w:tcBorders>
              <w:top w:val="single" w:sz="6" w:space="0" w:color="auto"/>
              <w:left w:val="single" w:sz="6" w:space="0" w:color="auto"/>
              <w:bottom w:val="nil"/>
              <w:right w:val="single" w:sz="6" w:space="0" w:color="auto"/>
            </w:tcBorders>
          </w:tcPr>
          <w:p w:rsidR="00601886" w:rsidRPr="000E3016" w:rsidRDefault="00601886" w:rsidP="000E3016">
            <w:pPr>
              <w:jc w:val="center"/>
              <w:rPr>
                <w:rFonts w:ascii="Arial" w:hAnsi="Arial" w:cs="Arial"/>
                <w:sz w:val="24"/>
                <w:szCs w:val="24"/>
              </w:rPr>
            </w:pPr>
            <w:r w:rsidRPr="000E3016">
              <w:rPr>
                <w:rFonts w:ascii="Arial" w:hAnsi="Arial" w:cs="Arial"/>
                <w:sz w:val="24"/>
                <w:szCs w:val="24"/>
              </w:rPr>
              <w:t>Product</w:t>
            </w:r>
          </w:p>
        </w:tc>
        <w:tc>
          <w:tcPr>
            <w:tcW w:w="2987" w:type="dxa"/>
            <w:gridSpan w:val="7"/>
            <w:tcBorders>
              <w:top w:val="single" w:sz="6" w:space="0" w:color="auto"/>
              <w:left w:val="single" w:sz="6" w:space="0" w:color="auto"/>
              <w:bottom w:val="nil"/>
              <w:right w:val="single" w:sz="6" w:space="0" w:color="auto"/>
            </w:tcBorders>
          </w:tcPr>
          <w:p w:rsidR="00601886" w:rsidRPr="000E3016" w:rsidRDefault="00601886" w:rsidP="000E3016">
            <w:pPr>
              <w:jc w:val="center"/>
              <w:rPr>
                <w:rFonts w:ascii="Arial" w:hAnsi="Arial" w:cs="Arial"/>
                <w:sz w:val="24"/>
                <w:szCs w:val="24"/>
              </w:rPr>
            </w:pPr>
            <w:r w:rsidRPr="000E3016">
              <w:rPr>
                <w:rFonts w:ascii="Arial" w:hAnsi="Arial" w:cs="Arial"/>
                <w:sz w:val="24"/>
                <w:szCs w:val="24"/>
              </w:rPr>
              <w:t>Decision</w:t>
            </w:r>
          </w:p>
        </w:tc>
        <w:tc>
          <w:tcPr>
            <w:tcW w:w="4943" w:type="dxa"/>
            <w:gridSpan w:val="2"/>
            <w:tcBorders>
              <w:top w:val="single" w:sz="6" w:space="0" w:color="auto"/>
              <w:left w:val="single" w:sz="6" w:space="0" w:color="auto"/>
              <w:bottom w:val="nil"/>
              <w:right w:val="single" w:sz="6" w:space="0" w:color="auto"/>
            </w:tcBorders>
          </w:tcPr>
          <w:p w:rsidR="00601886" w:rsidRPr="000E3016" w:rsidRDefault="00601886" w:rsidP="000E3016">
            <w:pPr>
              <w:jc w:val="center"/>
              <w:rPr>
                <w:rFonts w:ascii="Arial" w:hAnsi="Arial" w:cs="Arial"/>
                <w:sz w:val="24"/>
                <w:szCs w:val="24"/>
              </w:rPr>
            </w:pPr>
            <w:r w:rsidRPr="000E3016">
              <w:rPr>
                <w:rFonts w:ascii="Arial" w:hAnsi="Arial" w:cs="Arial"/>
                <w:sz w:val="24"/>
                <w:szCs w:val="24"/>
              </w:rPr>
              <w:t>Comments/notes</w:t>
            </w:r>
          </w:p>
        </w:tc>
      </w:tr>
      <w:tr w:rsidR="00CA6AEE" w:rsidRPr="000E3016" w:rsidTr="008B3ED1">
        <w:trPr>
          <w:cantSplit/>
          <w:tblHeader/>
        </w:trPr>
        <w:tc>
          <w:tcPr>
            <w:tcW w:w="2258" w:type="dxa"/>
            <w:tcBorders>
              <w:top w:val="nil"/>
              <w:bottom w:val="single" w:sz="4" w:space="0" w:color="auto"/>
            </w:tcBorders>
          </w:tcPr>
          <w:p w:rsidR="00E74BDD" w:rsidRPr="000E3016" w:rsidRDefault="00E74BDD" w:rsidP="00B72053">
            <w:pPr>
              <w:rPr>
                <w:rFonts w:ascii="Arial" w:hAnsi="Arial" w:cs="Arial"/>
                <w:sz w:val="24"/>
                <w:szCs w:val="24"/>
              </w:rPr>
            </w:pPr>
          </w:p>
        </w:tc>
        <w:tc>
          <w:tcPr>
            <w:tcW w:w="1028" w:type="dxa"/>
            <w:tcBorders>
              <w:top w:val="nil"/>
              <w:bottom w:val="single" w:sz="4" w:space="0" w:color="auto"/>
            </w:tcBorders>
          </w:tcPr>
          <w:p w:rsidR="00E74BDD" w:rsidRPr="000E3016" w:rsidRDefault="00CA6AEE" w:rsidP="000E3016">
            <w:pPr>
              <w:jc w:val="center"/>
              <w:rPr>
                <w:rFonts w:ascii="Arial" w:hAnsi="Arial" w:cs="Arial"/>
                <w:sz w:val="16"/>
                <w:szCs w:val="16"/>
              </w:rPr>
            </w:pPr>
            <w:r w:rsidRPr="000E3016">
              <w:rPr>
                <w:rFonts w:ascii="Arial" w:hAnsi="Arial" w:cs="Arial"/>
                <w:sz w:val="16"/>
                <w:szCs w:val="16"/>
              </w:rPr>
              <w:t>Approv</w:t>
            </w:r>
            <w:r w:rsidR="003A25ED" w:rsidRPr="000E3016">
              <w:rPr>
                <w:rFonts w:ascii="Arial" w:hAnsi="Arial" w:cs="Arial"/>
                <w:sz w:val="16"/>
                <w:szCs w:val="16"/>
              </w:rPr>
              <w:t>ed</w:t>
            </w:r>
          </w:p>
        </w:tc>
        <w:tc>
          <w:tcPr>
            <w:tcW w:w="887" w:type="dxa"/>
            <w:gridSpan w:val="2"/>
            <w:tcBorders>
              <w:top w:val="nil"/>
              <w:bottom w:val="single" w:sz="4" w:space="0" w:color="auto"/>
            </w:tcBorders>
          </w:tcPr>
          <w:p w:rsidR="00E74BDD" w:rsidRPr="000E3016" w:rsidRDefault="00CA6AEE" w:rsidP="000E3016">
            <w:pPr>
              <w:jc w:val="center"/>
              <w:rPr>
                <w:rFonts w:ascii="Arial" w:hAnsi="Arial" w:cs="Arial"/>
                <w:sz w:val="16"/>
                <w:szCs w:val="16"/>
              </w:rPr>
            </w:pPr>
            <w:r w:rsidRPr="000E3016">
              <w:rPr>
                <w:rFonts w:ascii="Arial" w:hAnsi="Arial" w:cs="Arial"/>
                <w:sz w:val="16"/>
                <w:szCs w:val="16"/>
              </w:rPr>
              <w:t>Refused</w:t>
            </w:r>
          </w:p>
        </w:tc>
        <w:tc>
          <w:tcPr>
            <w:tcW w:w="1072" w:type="dxa"/>
            <w:gridSpan w:val="4"/>
            <w:tcBorders>
              <w:top w:val="nil"/>
              <w:bottom w:val="single" w:sz="4" w:space="0" w:color="auto"/>
            </w:tcBorders>
          </w:tcPr>
          <w:p w:rsidR="00E74BDD" w:rsidRPr="000E3016" w:rsidRDefault="00CA6AEE" w:rsidP="000E3016">
            <w:pPr>
              <w:jc w:val="center"/>
              <w:rPr>
                <w:rFonts w:ascii="Arial" w:hAnsi="Arial" w:cs="Arial"/>
                <w:sz w:val="16"/>
                <w:szCs w:val="16"/>
              </w:rPr>
            </w:pPr>
            <w:r w:rsidRPr="000E3016">
              <w:rPr>
                <w:rFonts w:ascii="Arial" w:hAnsi="Arial" w:cs="Arial"/>
                <w:sz w:val="16"/>
                <w:szCs w:val="16"/>
              </w:rPr>
              <w:t>Deferred</w:t>
            </w:r>
          </w:p>
        </w:tc>
        <w:tc>
          <w:tcPr>
            <w:tcW w:w="4943" w:type="dxa"/>
            <w:gridSpan w:val="2"/>
            <w:tcBorders>
              <w:top w:val="nil"/>
              <w:bottom w:val="single" w:sz="4" w:space="0" w:color="auto"/>
            </w:tcBorders>
          </w:tcPr>
          <w:p w:rsidR="00E74BDD" w:rsidRPr="000E3016" w:rsidRDefault="00E74BDD" w:rsidP="00B72053">
            <w:pPr>
              <w:rPr>
                <w:rFonts w:ascii="Arial" w:hAnsi="Arial" w:cs="Arial"/>
                <w:sz w:val="24"/>
                <w:szCs w:val="24"/>
              </w:rPr>
            </w:pPr>
          </w:p>
        </w:tc>
      </w:tr>
      <w:tr w:rsidR="00AB386E" w:rsidRPr="000E3016" w:rsidTr="008B3ED1">
        <w:trPr>
          <w:cantSplit/>
        </w:trPr>
        <w:tc>
          <w:tcPr>
            <w:tcW w:w="10188" w:type="dxa"/>
            <w:gridSpan w:val="10"/>
            <w:shd w:val="pct5" w:color="auto" w:fill="auto"/>
          </w:tcPr>
          <w:p w:rsidR="00AB386E" w:rsidRPr="000E3016" w:rsidRDefault="008B4850" w:rsidP="000E3016">
            <w:pPr>
              <w:pStyle w:val="subhead1"/>
              <w:spacing w:before="120" w:after="120"/>
              <w:rPr>
                <w:rFonts w:ascii="Arial" w:hAnsi="Arial" w:cs="Arial"/>
                <w:b w:val="0"/>
                <w:szCs w:val="24"/>
              </w:rPr>
            </w:pPr>
            <w:r w:rsidRPr="000E3016">
              <w:rPr>
                <w:rFonts w:ascii="Arial" w:hAnsi="Arial" w:cs="Arial"/>
                <w:szCs w:val="24"/>
              </w:rPr>
              <w:t>1) Requests deferred from previous meetings</w:t>
            </w:r>
          </w:p>
        </w:tc>
      </w:tr>
      <w:tr w:rsidR="002F0B29" w:rsidRPr="000E3016" w:rsidTr="003A4949">
        <w:trPr>
          <w:cantSplit/>
          <w:trHeight w:val="320"/>
        </w:trPr>
        <w:tc>
          <w:tcPr>
            <w:tcW w:w="2258" w:type="dxa"/>
            <w:tcBorders>
              <w:top w:val="single" w:sz="6" w:space="0" w:color="auto"/>
              <w:left w:val="single" w:sz="6" w:space="0" w:color="auto"/>
              <w:bottom w:val="single" w:sz="6" w:space="0" w:color="auto"/>
              <w:right w:val="single" w:sz="6" w:space="0" w:color="auto"/>
            </w:tcBorders>
          </w:tcPr>
          <w:p w:rsidR="00D31FC6" w:rsidRPr="003A4949" w:rsidRDefault="003A4949" w:rsidP="0092291F">
            <w:pPr>
              <w:rPr>
                <w:rFonts w:ascii="Arial" w:hAnsi="Arial" w:cs="Arial"/>
                <w:b/>
                <w:iCs/>
              </w:rPr>
            </w:pPr>
            <w:r w:rsidRPr="003A4949">
              <w:rPr>
                <w:rFonts w:ascii="Arial" w:hAnsi="Arial" w:cs="Arial"/>
                <w:b/>
                <w:iCs/>
              </w:rPr>
              <w:t>None</w:t>
            </w:r>
          </w:p>
        </w:tc>
        <w:tc>
          <w:tcPr>
            <w:tcW w:w="1028" w:type="dxa"/>
            <w:tcBorders>
              <w:top w:val="single" w:sz="6" w:space="0" w:color="auto"/>
              <w:left w:val="single" w:sz="6" w:space="0" w:color="auto"/>
              <w:bottom w:val="single" w:sz="6" w:space="0" w:color="auto"/>
              <w:right w:val="single" w:sz="6" w:space="0" w:color="auto"/>
            </w:tcBorders>
          </w:tcPr>
          <w:p w:rsidR="00071A3E" w:rsidRPr="00B23344" w:rsidRDefault="00071A3E" w:rsidP="00D64876">
            <w:pPr>
              <w:jc w:val="center"/>
              <w:rPr>
                <w:rFonts w:ascii="Arial" w:hAnsi="Arial" w:cs="Arial"/>
                <w:iCs/>
              </w:rPr>
            </w:pPr>
          </w:p>
        </w:tc>
        <w:tc>
          <w:tcPr>
            <w:tcW w:w="887" w:type="dxa"/>
            <w:gridSpan w:val="2"/>
            <w:tcBorders>
              <w:top w:val="single" w:sz="6" w:space="0" w:color="auto"/>
              <w:left w:val="single" w:sz="6" w:space="0" w:color="auto"/>
              <w:bottom w:val="single" w:sz="6" w:space="0" w:color="auto"/>
              <w:right w:val="single" w:sz="6" w:space="0" w:color="auto"/>
            </w:tcBorders>
          </w:tcPr>
          <w:p w:rsidR="002F0B29" w:rsidRPr="00B23344" w:rsidRDefault="002F0B29" w:rsidP="008336C5">
            <w:pPr>
              <w:jc w:val="center"/>
              <w:rPr>
                <w:rFonts w:ascii="Arial" w:hAnsi="Arial" w:cs="Arial"/>
                <w:iCs/>
              </w:rPr>
            </w:pPr>
          </w:p>
        </w:tc>
        <w:tc>
          <w:tcPr>
            <w:tcW w:w="1072" w:type="dxa"/>
            <w:gridSpan w:val="4"/>
            <w:tcBorders>
              <w:top w:val="single" w:sz="6" w:space="0" w:color="auto"/>
              <w:left w:val="single" w:sz="6" w:space="0" w:color="auto"/>
              <w:bottom w:val="single" w:sz="6" w:space="0" w:color="auto"/>
              <w:right w:val="single" w:sz="6" w:space="0" w:color="auto"/>
            </w:tcBorders>
          </w:tcPr>
          <w:p w:rsidR="00C31616" w:rsidRPr="00B23344" w:rsidRDefault="00C31616" w:rsidP="00B93304">
            <w:pPr>
              <w:rPr>
                <w:rFonts w:ascii="Arial" w:hAnsi="Arial" w:cs="Arial"/>
                <w:iCs/>
              </w:rPr>
            </w:pPr>
          </w:p>
        </w:tc>
        <w:tc>
          <w:tcPr>
            <w:tcW w:w="4943" w:type="dxa"/>
            <w:gridSpan w:val="2"/>
            <w:tcBorders>
              <w:top w:val="single" w:sz="6" w:space="0" w:color="auto"/>
              <w:left w:val="single" w:sz="6" w:space="0" w:color="auto"/>
              <w:bottom w:val="single" w:sz="6" w:space="0" w:color="auto"/>
              <w:right w:val="single" w:sz="6" w:space="0" w:color="auto"/>
            </w:tcBorders>
          </w:tcPr>
          <w:p w:rsidR="0092291F" w:rsidRPr="005A1D29" w:rsidRDefault="0092291F" w:rsidP="00984262">
            <w:pPr>
              <w:rPr>
                <w:rFonts w:ascii="Arial" w:hAnsi="Arial" w:cs="Arial"/>
                <w:iCs/>
              </w:rPr>
            </w:pPr>
          </w:p>
        </w:tc>
      </w:tr>
      <w:tr w:rsidR="00A97DA4" w:rsidRPr="000E3016" w:rsidTr="008B3ED1">
        <w:trPr>
          <w:cantSplit/>
        </w:trPr>
        <w:tc>
          <w:tcPr>
            <w:tcW w:w="10188" w:type="dxa"/>
            <w:gridSpan w:val="10"/>
            <w:tcBorders>
              <w:top w:val="single" w:sz="6" w:space="0" w:color="auto"/>
              <w:left w:val="single" w:sz="6" w:space="0" w:color="auto"/>
              <w:bottom w:val="single" w:sz="6" w:space="0" w:color="auto"/>
              <w:right w:val="single" w:sz="6" w:space="0" w:color="auto"/>
            </w:tcBorders>
            <w:shd w:val="pct5" w:color="auto" w:fill="auto"/>
          </w:tcPr>
          <w:p w:rsidR="00A97DA4" w:rsidRPr="000E3016" w:rsidRDefault="00A97DA4" w:rsidP="000E3016">
            <w:pPr>
              <w:pStyle w:val="subhead1"/>
              <w:spacing w:before="120" w:after="120"/>
              <w:rPr>
                <w:rFonts w:ascii="Arial" w:hAnsi="Arial" w:cs="Arial"/>
                <w:szCs w:val="24"/>
              </w:rPr>
            </w:pPr>
            <w:r w:rsidRPr="000E3016">
              <w:rPr>
                <w:rFonts w:ascii="Arial" w:hAnsi="Arial" w:cs="Arial"/>
                <w:szCs w:val="24"/>
              </w:rPr>
              <w:t>2) New Requests</w:t>
            </w:r>
          </w:p>
        </w:tc>
      </w:tr>
      <w:tr w:rsidR="00F73E31" w:rsidRPr="000E3016" w:rsidTr="003525C9">
        <w:trPr>
          <w:cantSplit/>
        </w:trPr>
        <w:tc>
          <w:tcPr>
            <w:tcW w:w="2258" w:type="dxa"/>
            <w:tcBorders>
              <w:top w:val="single" w:sz="6" w:space="0" w:color="auto"/>
            </w:tcBorders>
          </w:tcPr>
          <w:p w:rsidR="00F73E31" w:rsidRDefault="0076119D" w:rsidP="00C629B7">
            <w:pPr>
              <w:rPr>
                <w:rFonts w:ascii="Arial" w:hAnsi="Arial" w:cs="Arial"/>
                <w:b/>
              </w:rPr>
            </w:pPr>
            <w:r>
              <w:rPr>
                <w:rFonts w:ascii="Arial" w:hAnsi="Arial" w:cs="Arial"/>
                <w:b/>
              </w:rPr>
              <w:t>None</w:t>
            </w:r>
          </w:p>
          <w:p w:rsidR="00861C8C" w:rsidRDefault="00861C8C" w:rsidP="00C629B7">
            <w:pPr>
              <w:rPr>
                <w:rFonts w:ascii="Arial" w:hAnsi="Arial" w:cs="Arial"/>
                <w:b/>
              </w:rPr>
            </w:pPr>
          </w:p>
        </w:tc>
        <w:tc>
          <w:tcPr>
            <w:tcW w:w="1028" w:type="dxa"/>
            <w:tcBorders>
              <w:top w:val="single" w:sz="6" w:space="0" w:color="auto"/>
            </w:tcBorders>
          </w:tcPr>
          <w:p w:rsidR="00F73E31" w:rsidRDefault="00F73E31" w:rsidP="00D31FC6">
            <w:pPr>
              <w:jc w:val="center"/>
              <w:rPr>
                <w:rFonts w:ascii="Arial" w:hAnsi="Arial" w:cs="Arial"/>
                <w:noProof/>
                <w:color w:val="000000"/>
              </w:rPr>
            </w:pPr>
          </w:p>
        </w:tc>
        <w:tc>
          <w:tcPr>
            <w:tcW w:w="887" w:type="dxa"/>
            <w:gridSpan w:val="2"/>
            <w:tcBorders>
              <w:top w:val="single" w:sz="6" w:space="0" w:color="auto"/>
            </w:tcBorders>
          </w:tcPr>
          <w:p w:rsidR="00F73E31" w:rsidRPr="00B23344" w:rsidRDefault="00F73E31" w:rsidP="00F53278">
            <w:pPr>
              <w:jc w:val="center"/>
              <w:rPr>
                <w:rFonts w:ascii="Arial" w:hAnsi="Arial" w:cs="Arial"/>
                <w:sz w:val="16"/>
                <w:szCs w:val="16"/>
              </w:rPr>
            </w:pPr>
          </w:p>
        </w:tc>
        <w:tc>
          <w:tcPr>
            <w:tcW w:w="1072" w:type="dxa"/>
            <w:gridSpan w:val="4"/>
            <w:tcBorders>
              <w:top w:val="single" w:sz="6" w:space="0" w:color="auto"/>
            </w:tcBorders>
          </w:tcPr>
          <w:p w:rsidR="00F73E31" w:rsidRPr="00B23344" w:rsidRDefault="00F73E31" w:rsidP="00931408">
            <w:pPr>
              <w:rPr>
                <w:rFonts w:ascii="Arial" w:hAnsi="Arial" w:cs="Arial"/>
              </w:rPr>
            </w:pPr>
          </w:p>
        </w:tc>
        <w:tc>
          <w:tcPr>
            <w:tcW w:w="4943" w:type="dxa"/>
            <w:gridSpan w:val="2"/>
            <w:tcBorders>
              <w:top w:val="single" w:sz="6" w:space="0" w:color="auto"/>
            </w:tcBorders>
            <w:shd w:val="clear" w:color="auto" w:fill="auto"/>
          </w:tcPr>
          <w:p w:rsidR="009C0050" w:rsidRPr="00F73E31" w:rsidRDefault="009C0050" w:rsidP="00C82F1C">
            <w:pPr>
              <w:rPr>
                <w:rFonts w:ascii="Arial" w:hAnsi="Arial" w:cs="Arial"/>
                <w:bCs/>
              </w:rPr>
            </w:pPr>
          </w:p>
        </w:tc>
      </w:tr>
      <w:tr w:rsidR="00A97DA4" w:rsidRPr="000E3016" w:rsidTr="008B3ED1">
        <w:trPr>
          <w:cantSplit/>
        </w:trPr>
        <w:tc>
          <w:tcPr>
            <w:tcW w:w="10188" w:type="dxa"/>
            <w:gridSpan w:val="10"/>
            <w:shd w:val="pct5" w:color="auto" w:fill="auto"/>
          </w:tcPr>
          <w:p w:rsidR="00A97DA4" w:rsidRPr="000E3016" w:rsidRDefault="00A97DA4" w:rsidP="000E3016">
            <w:pPr>
              <w:pStyle w:val="subhead1"/>
              <w:spacing w:before="120" w:after="120"/>
              <w:rPr>
                <w:rFonts w:ascii="Arial" w:hAnsi="Arial" w:cs="Arial"/>
                <w:b w:val="0"/>
                <w:szCs w:val="24"/>
              </w:rPr>
            </w:pPr>
            <w:r w:rsidRPr="000E3016">
              <w:rPr>
                <w:rFonts w:ascii="Arial" w:hAnsi="Arial" w:cs="Arial"/>
                <w:szCs w:val="24"/>
              </w:rPr>
              <w:t>3) New formulations &amp; extensions to use</w:t>
            </w:r>
          </w:p>
        </w:tc>
      </w:tr>
      <w:tr w:rsidR="00A97DA4" w:rsidRPr="000E3016" w:rsidTr="00DD07FB">
        <w:trPr>
          <w:cantSplit/>
          <w:trHeight w:val="391"/>
        </w:trPr>
        <w:tc>
          <w:tcPr>
            <w:tcW w:w="2258" w:type="dxa"/>
          </w:tcPr>
          <w:p w:rsidR="00A97DA4" w:rsidRPr="00B93304" w:rsidRDefault="00B43EBB" w:rsidP="003A4949">
            <w:pPr>
              <w:rPr>
                <w:rFonts w:ascii="Arial" w:hAnsi="Arial" w:cs="Arial"/>
                <w:b/>
              </w:rPr>
            </w:pPr>
            <w:r>
              <w:rPr>
                <w:rFonts w:ascii="Arial" w:hAnsi="Arial" w:cs="Arial"/>
                <w:b/>
              </w:rPr>
              <w:t>None</w:t>
            </w:r>
          </w:p>
        </w:tc>
        <w:tc>
          <w:tcPr>
            <w:tcW w:w="1028" w:type="dxa"/>
          </w:tcPr>
          <w:p w:rsidR="00A97DA4" w:rsidRPr="00381592" w:rsidRDefault="00A97DA4" w:rsidP="00012D75">
            <w:pPr>
              <w:jc w:val="center"/>
              <w:rPr>
                <w:rFonts w:ascii="Arial" w:hAnsi="Arial" w:cs="Arial"/>
              </w:rPr>
            </w:pPr>
          </w:p>
        </w:tc>
        <w:tc>
          <w:tcPr>
            <w:tcW w:w="887" w:type="dxa"/>
            <w:gridSpan w:val="2"/>
          </w:tcPr>
          <w:p w:rsidR="00A97DA4" w:rsidRPr="00B23344" w:rsidRDefault="00A97DA4" w:rsidP="001E7152">
            <w:pPr>
              <w:jc w:val="center"/>
              <w:rPr>
                <w:rFonts w:ascii="Arial" w:hAnsi="Arial" w:cs="Arial"/>
              </w:rPr>
            </w:pPr>
          </w:p>
        </w:tc>
        <w:tc>
          <w:tcPr>
            <w:tcW w:w="1072" w:type="dxa"/>
            <w:gridSpan w:val="4"/>
          </w:tcPr>
          <w:p w:rsidR="00A97DA4" w:rsidRPr="00E037A0" w:rsidRDefault="00A97DA4" w:rsidP="001E7152">
            <w:pPr>
              <w:jc w:val="center"/>
              <w:rPr>
                <w:rFonts w:ascii="Arial" w:hAnsi="Arial" w:cs="Arial"/>
                <w:b/>
                <w:color w:val="FFFFFF"/>
                <w:sz w:val="22"/>
              </w:rPr>
            </w:pPr>
          </w:p>
        </w:tc>
        <w:tc>
          <w:tcPr>
            <w:tcW w:w="4943" w:type="dxa"/>
            <w:gridSpan w:val="2"/>
          </w:tcPr>
          <w:p w:rsidR="00A97DA4" w:rsidRPr="00E037A0" w:rsidRDefault="00A97DA4" w:rsidP="003A4949">
            <w:pPr>
              <w:rPr>
                <w:rFonts w:ascii="Arial" w:hAnsi="Arial" w:cs="Arial"/>
              </w:rPr>
            </w:pPr>
          </w:p>
        </w:tc>
      </w:tr>
      <w:tr w:rsidR="00A97DA4" w:rsidRPr="000E3016" w:rsidTr="008B3ED1">
        <w:trPr>
          <w:cantSplit/>
        </w:trPr>
        <w:tc>
          <w:tcPr>
            <w:tcW w:w="10188" w:type="dxa"/>
            <w:gridSpan w:val="10"/>
            <w:shd w:val="pct5" w:color="auto" w:fill="auto"/>
          </w:tcPr>
          <w:p w:rsidR="00A97DA4" w:rsidRPr="00115907" w:rsidRDefault="00A97DA4" w:rsidP="000E3016">
            <w:pPr>
              <w:pStyle w:val="subhead1"/>
              <w:spacing w:before="120" w:after="120"/>
              <w:rPr>
                <w:rFonts w:ascii="Arial" w:hAnsi="Arial" w:cs="Arial"/>
                <w:sz w:val="20"/>
              </w:rPr>
            </w:pPr>
            <w:r w:rsidRPr="00115907">
              <w:rPr>
                <w:rFonts w:ascii="Arial" w:hAnsi="Arial" w:cs="Arial"/>
                <w:sz w:val="20"/>
              </w:rPr>
              <w:t>5) Products considered by NICE</w:t>
            </w:r>
          </w:p>
        </w:tc>
      </w:tr>
      <w:tr w:rsidR="00BC2EC4" w:rsidRPr="000E3016" w:rsidTr="000E5139">
        <w:trPr>
          <w:cantSplit/>
        </w:trPr>
        <w:tc>
          <w:tcPr>
            <w:tcW w:w="2258" w:type="dxa"/>
            <w:shd w:val="clear" w:color="auto" w:fill="auto"/>
          </w:tcPr>
          <w:p w:rsidR="00393FE2" w:rsidRPr="00115907" w:rsidRDefault="00115907" w:rsidP="00726C81">
            <w:pPr>
              <w:rPr>
                <w:rFonts w:ascii="Arial" w:hAnsi="Arial" w:cs="Arial"/>
                <w:b/>
              </w:rPr>
            </w:pPr>
            <w:r w:rsidRPr="00115907">
              <w:rPr>
                <w:rFonts w:ascii="Arial" w:hAnsi="Arial" w:cs="Arial"/>
                <w:b/>
              </w:rPr>
              <w:t xml:space="preserve">TA440 </w:t>
            </w:r>
            <w:proofErr w:type="spellStart"/>
            <w:r w:rsidRPr="00115907">
              <w:rPr>
                <w:rFonts w:ascii="Arial" w:hAnsi="Arial" w:cs="Arial"/>
                <w:b/>
              </w:rPr>
              <w:t>Pegylated</w:t>
            </w:r>
            <w:proofErr w:type="spellEnd"/>
            <w:r w:rsidRPr="00115907">
              <w:rPr>
                <w:rFonts w:ascii="Arial" w:hAnsi="Arial" w:cs="Arial"/>
                <w:b/>
              </w:rPr>
              <w:t xml:space="preserve"> liposomal </w:t>
            </w:r>
            <w:proofErr w:type="spellStart"/>
            <w:r w:rsidRPr="00115907">
              <w:rPr>
                <w:rFonts w:ascii="Arial" w:hAnsi="Arial" w:cs="Arial"/>
                <w:b/>
              </w:rPr>
              <w:t>irinotecan</w:t>
            </w:r>
            <w:proofErr w:type="spellEnd"/>
            <w:r w:rsidRPr="00115907">
              <w:rPr>
                <w:rFonts w:ascii="Arial" w:hAnsi="Arial" w:cs="Arial"/>
                <w:b/>
              </w:rPr>
              <w:t xml:space="preserve"> for treating pancreatic cancer after gemcitabine</w:t>
            </w:r>
          </w:p>
        </w:tc>
        <w:tc>
          <w:tcPr>
            <w:tcW w:w="1111" w:type="dxa"/>
            <w:gridSpan w:val="2"/>
            <w:shd w:val="clear" w:color="auto" w:fill="auto"/>
          </w:tcPr>
          <w:p w:rsidR="00BC2EC4" w:rsidRPr="00115907" w:rsidRDefault="00BC2EC4" w:rsidP="00BC2EC4">
            <w:pPr>
              <w:jc w:val="center"/>
              <w:rPr>
                <w:rFonts w:ascii="Arial" w:hAnsi="Arial" w:cs="Arial"/>
                <w:b/>
              </w:rPr>
            </w:pPr>
          </w:p>
        </w:tc>
        <w:tc>
          <w:tcPr>
            <w:tcW w:w="850" w:type="dxa"/>
            <w:gridSpan w:val="2"/>
            <w:shd w:val="clear" w:color="auto" w:fill="auto"/>
          </w:tcPr>
          <w:p w:rsidR="00BC2EC4" w:rsidRPr="00115907" w:rsidRDefault="00115907" w:rsidP="00115907">
            <w:pPr>
              <w:pStyle w:val="subhead1"/>
              <w:spacing w:before="120" w:after="120"/>
              <w:jc w:val="center"/>
              <w:rPr>
                <w:rFonts w:ascii="Arial" w:hAnsi="Arial" w:cs="Arial"/>
                <w:sz w:val="20"/>
              </w:rPr>
            </w:pPr>
            <w:r>
              <w:rPr>
                <w:noProof/>
                <w:lang w:eastAsia="en-GB"/>
              </w:rPr>
              <w:drawing>
                <wp:inline distT="0" distB="0" distL="0" distR="0" wp14:anchorId="2612A19F" wp14:editId="33CF23A2">
                  <wp:extent cx="161925" cy="1619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992" w:type="dxa"/>
            <w:gridSpan w:val="2"/>
            <w:shd w:val="clear" w:color="auto" w:fill="auto"/>
          </w:tcPr>
          <w:p w:rsidR="00BC2EC4" w:rsidRPr="00115907" w:rsidRDefault="00BC2EC4" w:rsidP="000E3016">
            <w:pPr>
              <w:pStyle w:val="subhead1"/>
              <w:spacing w:before="120" w:after="120"/>
              <w:rPr>
                <w:rFonts w:ascii="Arial" w:hAnsi="Arial" w:cs="Arial"/>
                <w:sz w:val="20"/>
              </w:rPr>
            </w:pPr>
          </w:p>
        </w:tc>
        <w:tc>
          <w:tcPr>
            <w:tcW w:w="4977" w:type="dxa"/>
            <w:gridSpan w:val="3"/>
            <w:shd w:val="clear" w:color="auto" w:fill="auto"/>
          </w:tcPr>
          <w:p w:rsidR="00BC2EC4" w:rsidRPr="00115907" w:rsidRDefault="00BC2EC4" w:rsidP="00A94627">
            <w:pPr>
              <w:pStyle w:val="subhead1"/>
              <w:spacing w:before="120" w:after="120"/>
              <w:rPr>
                <w:rFonts w:ascii="Arial" w:hAnsi="Arial" w:cs="Arial"/>
                <w:b w:val="0"/>
                <w:sz w:val="20"/>
                <w:lang w:val="en-US"/>
              </w:rPr>
            </w:pPr>
            <w:r w:rsidRPr="00115907">
              <w:rPr>
                <w:rFonts w:ascii="Arial" w:hAnsi="Arial" w:cs="Arial"/>
                <w:b w:val="0"/>
                <w:sz w:val="20"/>
                <w:lang w:val="en-US"/>
              </w:rPr>
              <w:t>The formulary will reflect the TAG – NHS England is the responsible commissioner.</w:t>
            </w:r>
          </w:p>
        </w:tc>
      </w:tr>
      <w:tr w:rsidR="00BC2EC4" w:rsidRPr="000E3016" w:rsidTr="000E5139">
        <w:trPr>
          <w:cantSplit/>
        </w:trPr>
        <w:tc>
          <w:tcPr>
            <w:tcW w:w="2258" w:type="dxa"/>
            <w:shd w:val="clear" w:color="auto" w:fill="auto"/>
          </w:tcPr>
          <w:p w:rsidR="00393FE2" w:rsidRDefault="00115907" w:rsidP="00726C81">
            <w:pPr>
              <w:rPr>
                <w:rFonts w:ascii="Arial" w:hAnsi="Arial" w:cs="Arial"/>
                <w:b/>
              </w:rPr>
            </w:pPr>
            <w:r w:rsidRPr="00115907">
              <w:rPr>
                <w:rFonts w:ascii="Arial" w:hAnsi="Arial" w:cs="Arial"/>
                <w:b/>
              </w:rPr>
              <w:t xml:space="preserve">TA441 </w:t>
            </w:r>
            <w:proofErr w:type="spellStart"/>
            <w:r w:rsidRPr="00115907">
              <w:rPr>
                <w:rFonts w:ascii="Arial" w:hAnsi="Arial" w:cs="Arial"/>
                <w:b/>
              </w:rPr>
              <w:t>Daclizumab</w:t>
            </w:r>
            <w:proofErr w:type="spellEnd"/>
            <w:r w:rsidRPr="00115907">
              <w:rPr>
                <w:rFonts w:ascii="Arial" w:hAnsi="Arial" w:cs="Arial"/>
                <w:b/>
              </w:rPr>
              <w:t xml:space="preserve"> for treating relapsing–remitting multiple sclerosis</w:t>
            </w:r>
          </w:p>
        </w:tc>
        <w:tc>
          <w:tcPr>
            <w:tcW w:w="1111" w:type="dxa"/>
            <w:gridSpan w:val="2"/>
            <w:shd w:val="clear" w:color="auto" w:fill="auto"/>
          </w:tcPr>
          <w:p w:rsidR="00BC2EC4" w:rsidRDefault="00BC2EC4" w:rsidP="00BC2EC4">
            <w:pPr>
              <w:jc w:val="center"/>
              <w:rPr>
                <w:rFonts w:ascii="Arial" w:hAnsi="Arial" w:cs="Arial"/>
                <w:noProof/>
                <w:szCs w:val="24"/>
              </w:rPr>
            </w:pPr>
            <w:r>
              <w:rPr>
                <w:noProof/>
              </w:rPr>
              <w:drawing>
                <wp:inline distT="0" distB="0" distL="0" distR="0" wp14:anchorId="2C96D3A5" wp14:editId="314239F5">
                  <wp:extent cx="161925" cy="1619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p w:rsidR="00BC2EC4" w:rsidRDefault="00BC2EC4" w:rsidP="00BC2EC4">
            <w:pPr>
              <w:jc w:val="center"/>
              <w:rPr>
                <w:noProof/>
              </w:rPr>
            </w:pPr>
            <w:r w:rsidRPr="00BC2EC4">
              <w:rPr>
                <w:rFonts w:ascii="Arial" w:hAnsi="Arial" w:cs="Arial"/>
                <w:b/>
                <w:color w:val="FFFFFF"/>
                <w:sz w:val="22"/>
                <w:highlight w:val="red"/>
              </w:rPr>
              <w:t>R</w:t>
            </w:r>
          </w:p>
        </w:tc>
        <w:tc>
          <w:tcPr>
            <w:tcW w:w="850" w:type="dxa"/>
            <w:gridSpan w:val="2"/>
            <w:shd w:val="clear" w:color="auto" w:fill="auto"/>
          </w:tcPr>
          <w:p w:rsidR="00BC2EC4" w:rsidRPr="000E3016" w:rsidRDefault="00BC2EC4" w:rsidP="000E3016">
            <w:pPr>
              <w:pStyle w:val="subhead1"/>
              <w:spacing w:before="120" w:after="120"/>
              <w:rPr>
                <w:rFonts w:ascii="Arial" w:hAnsi="Arial" w:cs="Arial"/>
                <w:szCs w:val="24"/>
              </w:rPr>
            </w:pPr>
          </w:p>
        </w:tc>
        <w:tc>
          <w:tcPr>
            <w:tcW w:w="992" w:type="dxa"/>
            <w:gridSpan w:val="2"/>
            <w:shd w:val="clear" w:color="auto" w:fill="auto"/>
          </w:tcPr>
          <w:p w:rsidR="00BC2EC4" w:rsidRPr="000E3016" w:rsidRDefault="00BC2EC4" w:rsidP="000E3016">
            <w:pPr>
              <w:pStyle w:val="subhead1"/>
              <w:spacing w:before="120" w:after="120"/>
              <w:rPr>
                <w:rFonts w:ascii="Arial" w:hAnsi="Arial" w:cs="Arial"/>
                <w:szCs w:val="24"/>
              </w:rPr>
            </w:pPr>
          </w:p>
        </w:tc>
        <w:tc>
          <w:tcPr>
            <w:tcW w:w="4977" w:type="dxa"/>
            <w:gridSpan w:val="3"/>
            <w:shd w:val="clear" w:color="auto" w:fill="auto"/>
          </w:tcPr>
          <w:p w:rsidR="00BC2EC4" w:rsidRPr="00BC2EC4" w:rsidRDefault="00115907" w:rsidP="00A94627">
            <w:pPr>
              <w:pStyle w:val="subhead1"/>
              <w:spacing w:before="120" w:after="120"/>
              <w:rPr>
                <w:rFonts w:ascii="Arial" w:hAnsi="Arial"/>
                <w:b w:val="0"/>
                <w:sz w:val="20"/>
                <w:lang w:val="en-US"/>
              </w:rPr>
            </w:pPr>
            <w:r w:rsidRPr="00E508AD">
              <w:rPr>
                <w:rFonts w:ascii="Arial" w:hAnsi="Arial"/>
                <w:b w:val="0"/>
                <w:sz w:val="20"/>
                <w:lang w:val="en-US"/>
              </w:rPr>
              <w:t>The formulary will reflect the TAG – NHS England is the responsible commissioner.</w:t>
            </w:r>
          </w:p>
        </w:tc>
      </w:tr>
      <w:tr w:rsidR="00BC2EC4" w:rsidRPr="000E3016" w:rsidTr="000E5139">
        <w:trPr>
          <w:cantSplit/>
        </w:trPr>
        <w:tc>
          <w:tcPr>
            <w:tcW w:w="2258" w:type="dxa"/>
            <w:shd w:val="clear" w:color="auto" w:fill="auto"/>
          </w:tcPr>
          <w:p w:rsidR="00BC2EC4" w:rsidRDefault="00115907" w:rsidP="00726C81">
            <w:pPr>
              <w:rPr>
                <w:rFonts w:ascii="Arial" w:hAnsi="Arial" w:cs="Arial"/>
                <w:b/>
              </w:rPr>
            </w:pPr>
            <w:r w:rsidRPr="00115907">
              <w:rPr>
                <w:rFonts w:ascii="Arial" w:hAnsi="Arial" w:cs="Arial"/>
                <w:b/>
              </w:rPr>
              <w:t xml:space="preserve">TA442 </w:t>
            </w:r>
            <w:proofErr w:type="spellStart"/>
            <w:r w:rsidRPr="00115907">
              <w:rPr>
                <w:rFonts w:ascii="Arial" w:hAnsi="Arial" w:cs="Arial"/>
                <w:b/>
              </w:rPr>
              <w:t>Ixekizumab</w:t>
            </w:r>
            <w:proofErr w:type="spellEnd"/>
            <w:r w:rsidRPr="00115907">
              <w:rPr>
                <w:rFonts w:ascii="Arial" w:hAnsi="Arial" w:cs="Arial"/>
                <w:b/>
              </w:rPr>
              <w:t xml:space="preserve"> for treating moderate to severe plaque psoriasis</w:t>
            </w:r>
          </w:p>
        </w:tc>
        <w:tc>
          <w:tcPr>
            <w:tcW w:w="1111" w:type="dxa"/>
            <w:gridSpan w:val="2"/>
            <w:shd w:val="clear" w:color="auto" w:fill="auto"/>
          </w:tcPr>
          <w:p w:rsidR="00115907" w:rsidRDefault="00115907" w:rsidP="00115907">
            <w:pPr>
              <w:jc w:val="center"/>
              <w:rPr>
                <w:rFonts w:ascii="Arial" w:hAnsi="Arial" w:cs="Arial"/>
                <w:noProof/>
                <w:szCs w:val="24"/>
              </w:rPr>
            </w:pPr>
            <w:r>
              <w:rPr>
                <w:noProof/>
              </w:rPr>
              <w:drawing>
                <wp:inline distT="0" distB="0" distL="0" distR="0" wp14:anchorId="54B63DC0" wp14:editId="6E6BCF1B">
                  <wp:extent cx="161925" cy="1619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p w:rsidR="00BC2EC4" w:rsidRDefault="00115907" w:rsidP="00115907">
            <w:pPr>
              <w:jc w:val="center"/>
              <w:rPr>
                <w:noProof/>
              </w:rPr>
            </w:pPr>
            <w:r w:rsidRPr="00BC2EC4">
              <w:rPr>
                <w:rFonts w:ascii="Arial" w:hAnsi="Arial" w:cs="Arial"/>
                <w:b/>
                <w:color w:val="FFFFFF"/>
                <w:sz w:val="22"/>
                <w:highlight w:val="red"/>
              </w:rPr>
              <w:t>R</w:t>
            </w:r>
          </w:p>
        </w:tc>
        <w:tc>
          <w:tcPr>
            <w:tcW w:w="850" w:type="dxa"/>
            <w:gridSpan w:val="2"/>
            <w:shd w:val="clear" w:color="auto" w:fill="auto"/>
          </w:tcPr>
          <w:p w:rsidR="00BC2EC4" w:rsidRPr="000E3016" w:rsidRDefault="00BC2EC4" w:rsidP="00E508AD">
            <w:pPr>
              <w:pStyle w:val="subhead1"/>
              <w:spacing w:before="120" w:after="120"/>
              <w:jc w:val="center"/>
              <w:rPr>
                <w:rFonts w:ascii="Arial" w:hAnsi="Arial" w:cs="Arial"/>
                <w:szCs w:val="24"/>
              </w:rPr>
            </w:pPr>
          </w:p>
        </w:tc>
        <w:tc>
          <w:tcPr>
            <w:tcW w:w="992" w:type="dxa"/>
            <w:gridSpan w:val="2"/>
            <w:shd w:val="clear" w:color="auto" w:fill="auto"/>
          </w:tcPr>
          <w:p w:rsidR="00BC2EC4" w:rsidRPr="000E3016" w:rsidRDefault="00BC2EC4" w:rsidP="000E3016">
            <w:pPr>
              <w:pStyle w:val="subhead1"/>
              <w:spacing w:before="120" w:after="120"/>
              <w:rPr>
                <w:rFonts w:ascii="Arial" w:hAnsi="Arial" w:cs="Arial"/>
                <w:szCs w:val="24"/>
              </w:rPr>
            </w:pPr>
          </w:p>
        </w:tc>
        <w:tc>
          <w:tcPr>
            <w:tcW w:w="4977" w:type="dxa"/>
            <w:gridSpan w:val="3"/>
            <w:shd w:val="clear" w:color="auto" w:fill="auto"/>
          </w:tcPr>
          <w:p w:rsidR="00BC2EC4" w:rsidRPr="00BC2EC4" w:rsidRDefault="00115907" w:rsidP="00115907">
            <w:pPr>
              <w:pStyle w:val="subhead1"/>
              <w:spacing w:before="120" w:after="120"/>
              <w:rPr>
                <w:rFonts w:ascii="Arial" w:hAnsi="Arial"/>
                <w:b w:val="0"/>
                <w:sz w:val="20"/>
                <w:lang w:val="en-US"/>
              </w:rPr>
            </w:pPr>
            <w:r w:rsidRPr="00BC2EC4">
              <w:rPr>
                <w:rFonts w:ascii="Arial" w:hAnsi="Arial"/>
                <w:b w:val="0"/>
                <w:sz w:val="20"/>
                <w:lang w:val="en-US"/>
              </w:rPr>
              <w:t>The formulary will reflect the TAG – CCG is the responsible commissioner.</w:t>
            </w:r>
          </w:p>
        </w:tc>
      </w:tr>
      <w:tr w:rsidR="00AB1272" w:rsidRPr="000E3016" w:rsidTr="000E5139">
        <w:trPr>
          <w:cantSplit/>
        </w:trPr>
        <w:tc>
          <w:tcPr>
            <w:tcW w:w="2258" w:type="dxa"/>
            <w:shd w:val="clear" w:color="auto" w:fill="auto"/>
          </w:tcPr>
          <w:p w:rsidR="00393FE2" w:rsidRDefault="00115907" w:rsidP="00726C81">
            <w:pPr>
              <w:rPr>
                <w:rFonts w:ascii="Arial" w:hAnsi="Arial" w:cs="Arial"/>
                <w:b/>
              </w:rPr>
            </w:pPr>
            <w:r w:rsidRPr="00115907">
              <w:rPr>
                <w:rFonts w:ascii="Arial" w:hAnsi="Arial" w:cs="Arial"/>
                <w:b/>
              </w:rPr>
              <w:lastRenderedPageBreak/>
              <w:t xml:space="preserve">TA443 </w:t>
            </w:r>
            <w:proofErr w:type="spellStart"/>
            <w:r w:rsidRPr="00115907">
              <w:rPr>
                <w:rFonts w:ascii="Arial" w:hAnsi="Arial" w:cs="Arial"/>
                <w:b/>
              </w:rPr>
              <w:t>Obeticholic</w:t>
            </w:r>
            <w:proofErr w:type="spellEnd"/>
            <w:r w:rsidRPr="00115907">
              <w:rPr>
                <w:rFonts w:ascii="Arial" w:hAnsi="Arial" w:cs="Arial"/>
                <w:b/>
              </w:rPr>
              <w:t xml:space="preserve"> acid for treating primary biliary cholangitis</w:t>
            </w:r>
          </w:p>
        </w:tc>
        <w:tc>
          <w:tcPr>
            <w:tcW w:w="1111" w:type="dxa"/>
            <w:gridSpan w:val="2"/>
            <w:shd w:val="clear" w:color="auto" w:fill="auto"/>
          </w:tcPr>
          <w:p w:rsidR="00115907" w:rsidRDefault="00115907" w:rsidP="00115907">
            <w:pPr>
              <w:jc w:val="center"/>
              <w:rPr>
                <w:rFonts w:ascii="Arial" w:hAnsi="Arial" w:cs="Arial"/>
                <w:noProof/>
                <w:szCs w:val="24"/>
              </w:rPr>
            </w:pPr>
            <w:r>
              <w:rPr>
                <w:noProof/>
              </w:rPr>
              <w:drawing>
                <wp:inline distT="0" distB="0" distL="0" distR="0" wp14:anchorId="38F52F47" wp14:editId="312382FF">
                  <wp:extent cx="161925" cy="1619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p w:rsidR="00AB1272" w:rsidRDefault="00115907" w:rsidP="00115907">
            <w:pPr>
              <w:jc w:val="center"/>
              <w:rPr>
                <w:noProof/>
              </w:rPr>
            </w:pPr>
            <w:r w:rsidRPr="00BC2EC4">
              <w:rPr>
                <w:rFonts w:ascii="Arial" w:hAnsi="Arial" w:cs="Arial"/>
                <w:b/>
                <w:color w:val="FFFFFF"/>
                <w:sz w:val="22"/>
                <w:highlight w:val="red"/>
              </w:rPr>
              <w:t>R</w:t>
            </w:r>
          </w:p>
        </w:tc>
        <w:tc>
          <w:tcPr>
            <w:tcW w:w="850" w:type="dxa"/>
            <w:gridSpan w:val="2"/>
            <w:shd w:val="clear" w:color="auto" w:fill="auto"/>
          </w:tcPr>
          <w:p w:rsidR="00AB1272" w:rsidRPr="000E3016" w:rsidRDefault="00AB1272" w:rsidP="008C7215">
            <w:pPr>
              <w:pStyle w:val="subhead1"/>
              <w:spacing w:before="120" w:after="120"/>
              <w:jc w:val="center"/>
              <w:rPr>
                <w:rFonts w:ascii="Arial" w:hAnsi="Arial" w:cs="Arial"/>
                <w:szCs w:val="24"/>
              </w:rPr>
            </w:pPr>
          </w:p>
        </w:tc>
        <w:tc>
          <w:tcPr>
            <w:tcW w:w="992" w:type="dxa"/>
            <w:gridSpan w:val="2"/>
            <w:shd w:val="clear" w:color="auto" w:fill="auto"/>
          </w:tcPr>
          <w:p w:rsidR="00AB1272" w:rsidRPr="000E3016" w:rsidRDefault="00AB1272" w:rsidP="008C7215">
            <w:pPr>
              <w:pStyle w:val="subhead1"/>
              <w:spacing w:before="120" w:after="120"/>
              <w:rPr>
                <w:rFonts w:ascii="Arial" w:hAnsi="Arial" w:cs="Arial"/>
                <w:szCs w:val="24"/>
              </w:rPr>
            </w:pPr>
          </w:p>
        </w:tc>
        <w:tc>
          <w:tcPr>
            <w:tcW w:w="4977" w:type="dxa"/>
            <w:gridSpan w:val="3"/>
            <w:shd w:val="clear" w:color="auto" w:fill="auto"/>
          </w:tcPr>
          <w:p w:rsidR="00AB1272" w:rsidRPr="00BC2EC4" w:rsidRDefault="00AB1272" w:rsidP="008C7215">
            <w:pPr>
              <w:pStyle w:val="subhead1"/>
              <w:spacing w:before="120" w:after="120"/>
              <w:rPr>
                <w:rFonts w:ascii="Arial" w:hAnsi="Arial"/>
                <w:b w:val="0"/>
                <w:sz w:val="20"/>
                <w:lang w:val="en-US"/>
              </w:rPr>
            </w:pPr>
            <w:r w:rsidRPr="00E508AD">
              <w:rPr>
                <w:rFonts w:ascii="Arial" w:hAnsi="Arial"/>
                <w:b w:val="0"/>
                <w:sz w:val="20"/>
                <w:lang w:val="en-US"/>
              </w:rPr>
              <w:t>The formulary will reflect the TAG – NHS England is the responsible commissioner.</w:t>
            </w:r>
          </w:p>
        </w:tc>
      </w:tr>
      <w:tr w:rsidR="00867265" w:rsidRPr="000E3016" w:rsidTr="000E5139">
        <w:trPr>
          <w:cantSplit/>
        </w:trPr>
        <w:tc>
          <w:tcPr>
            <w:tcW w:w="2258" w:type="dxa"/>
            <w:shd w:val="clear" w:color="auto" w:fill="auto"/>
          </w:tcPr>
          <w:p w:rsidR="00867265" w:rsidRPr="00115907" w:rsidRDefault="00867265" w:rsidP="00726C81">
            <w:pPr>
              <w:rPr>
                <w:rFonts w:ascii="Arial" w:hAnsi="Arial" w:cs="Arial"/>
                <w:b/>
              </w:rPr>
            </w:pPr>
            <w:r w:rsidRPr="00867265">
              <w:rPr>
                <w:rFonts w:ascii="Arial" w:hAnsi="Arial" w:cs="Arial"/>
                <w:b/>
              </w:rPr>
              <w:t xml:space="preserve">TA444 </w:t>
            </w:r>
            <w:proofErr w:type="spellStart"/>
            <w:r w:rsidRPr="00867265">
              <w:rPr>
                <w:rFonts w:ascii="Arial" w:hAnsi="Arial" w:cs="Arial"/>
                <w:b/>
              </w:rPr>
              <w:t>Afatinib</w:t>
            </w:r>
            <w:proofErr w:type="spellEnd"/>
            <w:r w:rsidRPr="00867265">
              <w:rPr>
                <w:rFonts w:ascii="Arial" w:hAnsi="Arial" w:cs="Arial"/>
                <w:b/>
              </w:rPr>
              <w:t xml:space="preserve"> for treating advanced squamous non-small-cell lung cancer after platinum-based chemotherapy (terminated appraisal)</w:t>
            </w:r>
          </w:p>
        </w:tc>
        <w:tc>
          <w:tcPr>
            <w:tcW w:w="1111" w:type="dxa"/>
            <w:gridSpan w:val="2"/>
            <w:shd w:val="clear" w:color="auto" w:fill="auto"/>
          </w:tcPr>
          <w:p w:rsidR="00867265" w:rsidRDefault="00867265" w:rsidP="00115907">
            <w:pPr>
              <w:jc w:val="center"/>
              <w:rPr>
                <w:noProof/>
              </w:rPr>
            </w:pPr>
          </w:p>
        </w:tc>
        <w:tc>
          <w:tcPr>
            <w:tcW w:w="850" w:type="dxa"/>
            <w:gridSpan w:val="2"/>
            <w:shd w:val="clear" w:color="auto" w:fill="auto"/>
          </w:tcPr>
          <w:p w:rsidR="00867265" w:rsidRPr="00115907" w:rsidRDefault="00867265" w:rsidP="00EB27DF">
            <w:pPr>
              <w:pStyle w:val="subhead1"/>
              <w:spacing w:before="120" w:after="120"/>
              <w:jc w:val="center"/>
              <w:rPr>
                <w:rFonts w:ascii="Arial" w:hAnsi="Arial" w:cs="Arial"/>
                <w:sz w:val="20"/>
              </w:rPr>
            </w:pPr>
            <w:r>
              <w:rPr>
                <w:noProof/>
                <w:lang w:eastAsia="en-GB"/>
              </w:rPr>
              <w:drawing>
                <wp:inline distT="0" distB="0" distL="0" distR="0" wp14:anchorId="382D85AD" wp14:editId="456E17FD">
                  <wp:extent cx="161925" cy="1619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992" w:type="dxa"/>
            <w:gridSpan w:val="2"/>
            <w:shd w:val="clear" w:color="auto" w:fill="auto"/>
          </w:tcPr>
          <w:p w:rsidR="00867265" w:rsidRPr="00115907" w:rsidRDefault="00867265" w:rsidP="00EB27DF">
            <w:pPr>
              <w:pStyle w:val="subhead1"/>
              <w:spacing w:before="120" w:after="120"/>
              <w:rPr>
                <w:rFonts w:ascii="Arial" w:hAnsi="Arial" w:cs="Arial"/>
                <w:sz w:val="20"/>
              </w:rPr>
            </w:pPr>
          </w:p>
        </w:tc>
        <w:tc>
          <w:tcPr>
            <w:tcW w:w="4977" w:type="dxa"/>
            <w:gridSpan w:val="3"/>
            <w:shd w:val="clear" w:color="auto" w:fill="auto"/>
          </w:tcPr>
          <w:p w:rsidR="00867265" w:rsidRPr="00115907" w:rsidRDefault="00867265" w:rsidP="00EB27DF">
            <w:pPr>
              <w:pStyle w:val="subhead1"/>
              <w:spacing w:before="120" w:after="120"/>
              <w:rPr>
                <w:rFonts w:ascii="Arial" w:hAnsi="Arial" w:cs="Arial"/>
                <w:b w:val="0"/>
                <w:sz w:val="20"/>
                <w:lang w:val="en-US"/>
              </w:rPr>
            </w:pPr>
            <w:r w:rsidRPr="00115907">
              <w:rPr>
                <w:rFonts w:ascii="Arial" w:hAnsi="Arial" w:cs="Arial"/>
                <w:b w:val="0"/>
                <w:sz w:val="20"/>
                <w:lang w:val="en-US"/>
              </w:rPr>
              <w:t>The formulary will reflect the TAG – NHS England is the responsible commissioner.</w:t>
            </w:r>
          </w:p>
        </w:tc>
      </w:tr>
      <w:tr w:rsidR="00867265" w:rsidRPr="000E3016" w:rsidTr="000E5139">
        <w:trPr>
          <w:cantSplit/>
        </w:trPr>
        <w:tc>
          <w:tcPr>
            <w:tcW w:w="2258" w:type="dxa"/>
            <w:shd w:val="clear" w:color="auto" w:fill="auto"/>
          </w:tcPr>
          <w:p w:rsidR="00867265" w:rsidRPr="00115907" w:rsidRDefault="00867265" w:rsidP="00726C81">
            <w:pPr>
              <w:rPr>
                <w:rFonts w:ascii="Arial" w:hAnsi="Arial" w:cs="Arial"/>
                <w:b/>
              </w:rPr>
            </w:pPr>
            <w:r w:rsidRPr="00867265">
              <w:rPr>
                <w:rFonts w:ascii="Arial" w:hAnsi="Arial" w:cs="Arial"/>
                <w:b/>
              </w:rPr>
              <w:t xml:space="preserve">TA445 </w:t>
            </w:r>
            <w:proofErr w:type="spellStart"/>
            <w:r w:rsidRPr="00867265">
              <w:rPr>
                <w:rFonts w:ascii="Arial" w:hAnsi="Arial" w:cs="Arial"/>
                <w:b/>
              </w:rPr>
              <w:t>Certolizumab</w:t>
            </w:r>
            <w:proofErr w:type="spellEnd"/>
            <w:r w:rsidRPr="00867265">
              <w:rPr>
                <w:rFonts w:ascii="Arial" w:hAnsi="Arial" w:cs="Arial"/>
                <w:b/>
              </w:rPr>
              <w:t xml:space="preserve"> </w:t>
            </w:r>
            <w:proofErr w:type="spellStart"/>
            <w:r w:rsidRPr="00867265">
              <w:rPr>
                <w:rFonts w:ascii="Arial" w:hAnsi="Arial" w:cs="Arial"/>
                <w:b/>
              </w:rPr>
              <w:t>pegol</w:t>
            </w:r>
            <w:proofErr w:type="spellEnd"/>
            <w:r w:rsidRPr="00867265">
              <w:rPr>
                <w:rFonts w:ascii="Arial" w:hAnsi="Arial" w:cs="Arial"/>
                <w:b/>
              </w:rPr>
              <w:t xml:space="preserve"> and </w:t>
            </w:r>
            <w:proofErr w:type="spellStart"/>
            <w:r w:rsidRPr="00867265">
              <w:rPr>
                <w:rFonts w:ascii="Arial" w:hAnsi="Arial" w:cs="Arial"/>
                <w:b/>
              </w:rPr>
              <w:t>secukinumab</w:t>
            </w:r>
            <w:proofErr w:type="spellEnd"/>
            <w:r w:rsidRPr="00867265">
              <w:rPr>
                <w:rFonts w:ascii="Arial" w:hAnsi="Arial" w:cs="Arial"/>
                <w:b/>
              </w:rPr>
              <w:t xml:space="preserve"> for treating active psoriatic arthritis after inadequate response to DMARDs</w:t>
            </w:r>
          </w:p>
        </w:tc>
        <w:tc>
          <w:tcPr>
            <w:tcW w:w="1111" w:type="dxa"/>
            <w:gridSpan w:val="2"/>
            <w:shd w:val="clear" w:color="auto" w:fill="auto"/>
          </w:tcPr>
          <w:p w:rsidR="00867265" w:rsidRDefault="00867265" w:rsidP="00EB27DF">
            <w:pPr>
              <w:jc w:val="center"/>
              <w:rPr>
                <w:rFonts w:ascii="Arial" w:hAnsi="Arial" w:cs="Arial"/>
                <w:noProof/>
                <w:szCs w:val="24"/>
              </w:rPr>
            </w:pPr>
            <w:r>
              <w:rPr>
                <w:noProof/>
              </w:rPr>
              <w:drawing>
                <wp:inline distT="0" distB="0" distL="0" distR="0" wp14:anchorId="55A5469B" wp14:editId="4092921C">
                  <wp:extent cx="161925" cy="1619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p w:rsidR="00867265" w:rsidRDefault="00867265" w:rsidP="00EB27DF">
            <w:pPr>
              <w:jc w:val="center"/>
              <w:rPr>
                <w:noProof/>
              </w:rPr>
            </w:pPr>
            <w:r w:rsidRPr="00BC2EC4">
              <w:rPr>
                <w:rFonts w:ascii="Arial" w:hAnsi="Arial" w:cs="Arial"/>
                <w:b/>
                <w:color w:val="FFFFFF"/>
                <w:sz w:val="22"/>
                <w:highlight w:val="red"/>
              </w:rPr>
              <w:t>R</w:t>
            </w:r>
          </w:p>
        </w:tc>
        <w:tc>
          <w:tcPr>
            <w:tcW w:w="850" w:type="dxa"/>
            <w:gridSpan w:val="2"/>
            <w:shd w:val="clear" w:color="auto" w:fill="auto"/>
          </w:tcPr>
          <w:p w:rsidR="00867265" w:rsidRPr="000E3016" w:rsidRDefault="00867265" w:rsidP="00EB27DF">
            <w:pPr>
              <w:pStyle w:val="subhead1"/>
              <w:spacing w:before="120" w:after="120"/>
              <w:jc w:val="center"/>
              <w:rPr>
                <w:rFonts w:ascii="Arial" w:hAnsi="Arial" w:cs="Arial"/>
                <w:szCs w:val="24"/>
              </w:rPr>
            </w:pPr>
          </w:p>
        </w:tc>
        <w:tc>
          <w:tcPr>
            <w:tcW w:w="992" w:type="dxa"/>
            <w:gridSpan w:val="2"/>
            <w:shd w:val="clear" w:color="auto" w:fill="auto"/>
          </w:tcPr>
          <w:p w:rsidR="00867265" w:rsidRPr="000E3016" w:rsidRDefault="00867265" w:rsidP="00EB27DF">
            <w:pPr>
              <w:pStyle w:val="subhead1"/>
              <w:spacing w:before="120" w:after="120"/>
              <w:rPr>
                <w:rFonts w:ascii="Arial" w:hAnsi="Arial" w:cs="Arial"/>
                <w:szCs w:val="24"/>
              </w:rPr>
            </w:pPr>
          </w:p>
        </w:tc>
        <w:tc>
          <w:tcPr>
            <w:tcW w:w="4977" w:type="dxa"/>
            <w:gridSpan w:val="3"/>
            <w:shd w:val="clear" w:color="auto" w:fill="auto"/>
          </w:tcPr>
          <w:p w:rsidR="00867265" w:rsidRPr="00BC2EC4" w:rsidRDefault="00867265" w:rsidP="00EB27DF">
            <w:pPr>
              <w:pStyle w:val="subhead1"/>
              <w:spacing w:before="120" w:after="120"/>
              <w:rPr>
                <w:rFonts w:ascii="Arial" w:hAnsi="Arial"/>
                <w:b w:val="0"/>
                <w:sz w:val="20"/>
                <w:lang w:val="en-US"/>
              </w:rPr>
            </w:pPr>
            <w:r w:rsidRPr="00E508AD">
              <w:rPr>
                <w:rFonts w:ascii="Arial" w:hAnsi="Arial"/>
                <w:b w:val="0"/>
                <w:sz w:val="20"/>
                <w:lang w:val="en-US"/>
              </w:rPr>
              <w:t>The formulary will reflect the TAG – NHS England is the responsible commissioner.</w:t>
            </w:r>
          </w:p>
        </w:tc>
      </w:tr>
      <w:tr w:rsidR="00867265" w:rsidRPr="000E3016" w:rsidTr="00116B8F">
        <w:trPr>
          <w:cantSplit/>
        </w:trPr>
        <w:tc>
          <w:tcPr>
            <w:tcW w:w="10188" w:type="dxa"/>
            <w:gridSpan w:val="10"/>
            <w:shd w:val="clear" w:color="auto" w:fill="F2F2F2"/>
          </w:tcPr>
          <w:p w:rsidR="00867265" w:rsidRPr="00794739" w:rsidRDefault="00867265" w:rsidP="001C4A18">
            <w:pPr>
              <w:spacing w:before="120" w:after="120"/>
              <w:contextualSpacing/>
              <w:rPr>
                <w:rFonts w:ascii="Arial" w:hAnsi="Arial" w:cs="Arial"/>
                <w:b/>
                <w:sz w:val="24"/>
                <w:szCs w:val="24"/>
                <w:lang w:val="en-US"/>
              </w:rPr>
            </w:pPr>
            <w:r w:rsidRPr="001C4A18">
              <w:rPr>
                <w:rFonts w:ascii="Arial" w:hAnsi="Arial" w:cs="Arial"/>
                <w:b/>
                <w:sz w:val="24"/>
                <w:szCs w:val="24"/>
              </w:rPr>
              <w:t>6)</w:t>
            </w:r>
            <w:r w:rsidRPr="001C4A18">
              <w:rPr>
                <w:rFonts w:ascii="Arial" w:hAnsi="Arial" w:cs="Arial"/>
                <w:b/>
                <w:sz w:val="24"/>
                <w:szCs w:val="24"/>
                <w:lang w:val="en-US"/>
              </w:rPr>
              <w:t xml:space="preserve"> Northern (NHS) Treatment Advisory Group (N-TAG )</w:t>
            </w:r>
          </w:p>
        </w:tc>
      </w:tr>
      <w:tr w:rsidR="00867265" w:rsidRPr="000E3016" w:rsidTr="00726C81">
        <w:trPr>
          <w:cantSplit/>
          <w:trHeight w:val="407"/>
        </w:trPr>
        <w:tc>
          <w:tcPr>
            <w:tcW w:w="2258" w:type="dxa"/>
            <w:shd w:val="clear" w:color="auto" w:fill="auto"/>
          </w:tcPr>
          <w:p w:rsidR="00867265" w:rsidRPr="00C5017D" w:rsidRDefault="003640E7" w:rsidP="00C82F1C">
            <w:pPr>
              <w:rPr>
                <w:rFonts w:ascii="Arial" w:hAnsi="Arial" w:cs="Arial"/>
                <w:b/>
                <w:lang w:val="en-US"/>
              </w:rPr>
            </w:pPr>
            <w:r>
              <w:rPr>
                <w:rFonts w:ascii="Arial" w:hAnsi="Arial" w:cs="Arial"/>
                <w:b/>
                <w:lang w:val="en-US"/>
              </w:rPr>
              <w:t>None</w:t>
            </w:r>
            <w:bookmarkStart w:id="1" w:name="_GoBack"/>
            <w:bookmarkEnd w:id="1"/>
          </w:p>
        </w:tc>
        <w:tc>
          <w:tcPr>
            <w:tcW w:w="1111" w:type="dxa"/>
            <w:gridSpan w:val="2"/>
            <w:shd w:val="clear" w:color="auto" w:fill="auto"/>
          </w:tcPr>
          <w:p w:rsidR="00867265" w:rsidRPr="00BC2EC4" w:rsidRDefault="00867265" w:rsidP="00BC2EC4">
            <w:pPr>
              <w:jc w:val="center"/>
              <w:rPr>
                <w:rFonts w:ascii="Arial" w:hAnsi="Arial" w:cs="Arial"/>
                <w:b/>
                <w:szCs w:val="24"/>
              </w:rPr>
            </w:pPr>
          </w:p>
        </w:tc>
        <w:tc>
          <w:tcPr>
            <w:tcW w:w="879" w:type="dxa"/>
            <w:gridSpan w:val="3"/>
            <w:shd w:val="clear" w:color="auto" w:fill="auto"/>
          </w:tcPr>
          <w:p w:rsidR="00867265" w:rsidRPr="00665BDD" w:rsidRDefault="00867265" w:rsidP="00C82F1C">
            <w:pPr>
              <w:pStyle w:val="subhead1"/>
              <w:spacing w:before="120" w:after="120"/>
              <w:jc w:val="center"/>
              <w:rPr>
                <w:rFonts w:ascii="Arial" w:hAnsi="Arial" w:cs="Arial"/>
                <w:b w:val="0"/>
                <w:sz w:val="20"/>
              </w:rPr>
            </w:pPr>
          </w:p>
        </w:tc>
        <w:tc>
          <w:tcPr>
            <w:tcW w:w="1080" w:type="dxa"/>
            <w:gridSpan w:val="3"/>
            <w:shd w:val="clear" w:color="auto" w:fill="auto"/>
          </w:tcPr>
          <w:p w:rsidR="00867265" w:rsidRPr="000E3016" w:rsidRDefault="00867265" w:rsidP="00F53278">
            <w:pPr>
              <w:pStyle w:val="subhead1"/>
              <w:spacing w:before="120" w:after="120"/>
              <w:rPr>
                <w:rFonts w:ascii="Arial" w:hAnsi="Arial" w:cs="Arial"/>
                <w:szCs w:val="24"/>
              </w:rPr>
            </w:pPr>
          </w:p>
        </w:tc>
        <w:tc>
          <w:tcPr>
            <w:tcW w:w="4860" w:type="dxa"/>
            <w:shd w:val="clear" w:color="auto" w:fill="auto"/>
          </w:tcPr>
          <w:p w:rsidR="00867265" w:rsidRPr="00785F51" w:rsidRDefault="00867265" w:rsidP="00C82F1C">
            <w:pPr>
              <w:pStyle w:val="subhead1"/>
              <w:rPr>
                <w:rFonts w:ascii="Arial" w:hAnsi="Arial" w:cs="Arial"/>
                <w:b w:val="0"/>
                <w:sz w:val="20"/>
              </w:rPr>
            </w:pPr>
          </w:p>
        </w:tc>
      </w:tr>
      <w:tr w:rsidR="00867265" w:rsidRPr="000E3016" w:rsidTr="008B3ED1">
        <w:trPr>
          <w:cantSplit/>
        </w:trPr>
        <w:tc>
          <w:tcPr>
            <w:tcW w:w="10188" w:type="dxa"/>
            <w:gridSpan w:val="10"/>
            <w:shd w:val="pct5" w:color="auto" w:fill="auto"/>
          </w:tcPr>
          <w:p w:rsidR="00867265" w:rsidRPr="000E3016" w:rsidRDefault="00867265" w:rsidP="000E3016">
            <w:pPr>
              <w:pStyle w:val="subhead1"/>
              <w:spacing w:before="120" w:after="120"/>
              <w:rPr>
                <w:rFonts w:ascii="Arial" w:hAnsi="Arial" w:cs="Arial"/>
                <w:szCs w:val="24"/>
              </w:rPr>
            </w:pPr>
            <w:r>
              <w:rPr>
                <w:rFonts w:ascii="Arial" w:hAnsi="Arial" w:cs="Arial"/>
                <w:szCs w:val="24"/>
              </w:rPr>
              <w:t>7</w:t>
            </w:r>
            <w:r w:rsidRPr="000E3016">
              <w:rPr>
                <w:rFonts w:ascii="Arial" w:hAnsi="Arial" w:cs="Arial"/>
                <w:szCs w:val="24"/>
              </w:rPr>
              <w:t>) Appeals against earlier decisions by the APC</w:t>
            </w:r>
          </w:p>
        </w:tc>
      </w:tr>
      <w:tr w:rsidR="00867265" w:rsidRPr="000E3016" w:rsidTr="008B3ED1">
        <w:trPr>
          <w:cantSplit/>
        </w:trPr>
        <w:tc>
          <w:tcPr>
            <w:tcW w:w="2258" w:type="dxa"/>
            <w:tcBorders>
              <w:bottom w:val="single" w:sz="4" w:space="0" w:color="auto"/>
            </w:tcBorders>
          </w:tcPr>
          <w:p w:rsidR="00867265" w:rsidRDefault="00867265" w:rsidP="00F53278">
            <w:pPr>
              <w:rPr>
                <w:rFonts w:ascii="Arial" w:hAnsi="Arial" w:cs="Arial"/>
                <w:b/>
              </w:rPr>
            </w:pPr>
            <w:r>
              <w:rPr>
                <w:rFonts w:ascii="Arial" w:hAnsi="Arial" w:cs="Arial"/>
                <w:b/>
              </w:rPr>
              <w:t>None</w:t>
            </w:r>
          </w:p>
          <w:p w:rsidR="00867265" w:rsidRPr="001C4A18" w:rsidRDefault="00867265" w:rsidP="00F53278">
            <w:pPr>
              <w:rPr>
                <w:rFonts w:ascii="Arial" w:hAnsi="Arial" w:cs="Arial"/>
                <w:b/>
              </w:rPr>
            </w:pPr>
          </w:p>
        </w:tc>
        <w:tc>
          <w:tcPr>
            <w:tcW w:w="1028" w:type="dxa"/>
            <w:tcBorders>
              <w:bottom w:val="single" w:sz="4" w:space="0" w:color="auto"/>
            </w:tcBorders>
          </w:tcPr>
          <w:p w:rsidR="00867265" w:rsidRPr="000E3016" w:rsidRDefault="00867265" w:rsidP="00F53278">
            <w:pPr>
              <w:jc w:val="center"/>
              <w:rPr>
                <w:rFonts w:ascii="Arial" w:hAnsi="Arial" w:cs="Arial"/>
              </w:rPr>
            </w:pPr>
          </w:p>
        </w:tc>
        <w:tc>
          <w:tcPr>
            <w:tcW w:w="887" w:type="dxa"/>
            <w:gridSpan w:val="2"/>
            <w:tcBorders>
              <w:bottom w:val="single" w:sz="4" w:space="0" w:color="auto"/>
            </w:tcBorders>
          </w:tcPr>
          <w:p w:rsidR="00867265" w:rsidRPr="000E3016" w:rsidRDefault="00867265" w:rsidP="002F0B29">
            <w:pPr>
              <w:jc w:val="center"/>
              <w:rPr>
                <w:rFonts w:ascii="Arial" w:hAnsi="Arial" w:cs="Arial"/>
              </w:rPr>
            </w:pPr>
          </w:p>
        </w:tc>
        <w:tc>
          <w:tcPr>
            <w:tcW w:w="1072" w:type="dxa"/>
            <w:gridSpan w:val="4"/>
            <w:tcBorders>
              <w:bottom w:val="single" w:sz="4" w:space="0" w:color="auto"/>
            </w:tcBorders>
          </w:tcPr>
          <w:p w:rsidR="00867265" w:rsidRPr="000E3016" w:rsidRDefault="00867265" w:rsidP="00F53278">
            <w:pPr>
              <w:jc w:val="center"/>
              <w:rPr>
                <w:rFonts w:ascii="Arial" w:hAnsi="Arial" w:cs="Arial"/>
              </w:rPr>
            </w:pPr>
          </w:p>
        </w:tc>
        <w:tc>
          <w:tcPr>
            <w:tcW w:w="4943" w:type="dxa"/>
            <w:gridSpan w:val="2"/>
            <w:tcBorders>
              <w:bottom w:val="single" w:sz="4" w:space="0" w:color="auto"/>
            </w:tcBorders>
          </w:tcPr>
          <w:p w:rsidR="00867265" w:rsidRDefault="00867265" w:rsidP="00C31616">
            <w:pPr>
              <w:spacing w:after="40"/>
              <w:rPr>
                <w:rFonts w:ascii="Arial" w:hAnsi="Arial" w:cs="Arial"/>
              </w:rPr>
            </w:pPr>
          </w:p>
          <w:p w:rsidR="00867265" w:rsidRPr="00AE028B" w:rsidRDefault="00867265" w:rsidP="00C31616">
            <w:pPr>
              <w:spacing w:after="40"/>
              <w:rPr>
                <w:rFonts w:ascii="Arial" w:hAnsi="Arial" w:cs="Arial"/>
              </w:rPr>
            </w:pPr>
          </w:p>
        </w:tc>
      </w:tr>
      <w:tr w:rsidR="00867265" w:rsidRPr="000E3016" w:rsidTr="008B3ED1">
        <w:trPr>
          <w:cantSplit/>
        </w:trPr>
        <w:tc>
          <w:tcPr>
            <w:tcW w:w="10188" w:type="dxa"/>
            <w:gridSpan w:val="10"/>
            <w:shd w:val="pct5" w:color="auto" w:fill="auto"/>
          </w:tcPr>
          <w:p w:rsidR="00867265" w:rsidRPr="000E3016" w:rsidRDefault="00867265" w:rsidP="000E3016">
            <w:pPr>
              <w:pStyle w:val="subhead1"/>
              <w:spacing w:before="120" w:after="120"/>
              <w:rPr>
                <w:rFonts w:ascii="Arial" w:hAnsi="Arial" w:cs="Arial"/>
                <w:szCs w:val="24"/>
              </w:rPr>
            </w:pPr>
            <w:r>
              <w:rPr>
                <w:rFonts w:ascii="Arial" w:hAnsi="Arial" w:cs="Arial"/>
                <w:szCs w:val="24"/>
              </w:rPr>
              <w:t>8</w:t>
            </w:r>
            <w:r w:rsidRPr="000E3016">
              <w:rPr>
                <w:rFonts w:ascii="Arial" w:hAnsi="Arial" w:cs="Arial"/>
                <w:szCs w:val="24"/>
              </w:rPr>
              <w:t>) Miscellaneous decisions by the APC</w:t>
            </w:r>
          </w:p>
        </w:tc>
      </w:tr>
      <w:tr w:rsidR="00867265" w:rsidRPr="000E3016" w:rsidTr="008B3ED1">
        <w:trPr>
          <w:cantSplit/>
        </w:trPr>
        <w:tc>
          <w:tcPr>
            <w:tcW w:w="2258" w:type="dxa"/>
          </w:tcPr>
          <w:p w:rsidR="00867265" w:rsidRPr="00861C8C" w:rsidRDefault="0019763D" w:rsidP="0019763D">
            <w:pPr>
              <w:tabs>
                <w:tab w:val="left" w:pos="0"/>
                <w:tab w:val="left" w:pos="1200"/>
                <w:tab w:val="left" w:pos="1800"/>
                <w:tab w:val="left" w:pos="2400"/>
                <w:tab w:val="left" w:pos="3000"/>
                <w:tab w:val="left" w:pos="3255"/>
                <w:tab w:val="left" w:pos="3600"/>
                <w:tab w:val="left" w:pos="4200"/>
                <w:tab w:val="left" w:pos="4800"/>
                <w:tab w:val="left" w:pos="5400"/>
                <w:tab w:val="left" w:pos="6000"/>
                <w:tab w:val="left" w:pos="6600"/>
                <w:tab w:val="left" w:pos="7200"/>
                <w:tab w:val="left" w:pos="7800"/>
                <w:tab w:val="left" w:pos="8400"/>
                <w:tab w:val="left" w:pos="9000"/>
              </w:tabs>
              <w:rPr>
                <w:rFonts w:ascii="Arial" w:eastAsia="Calibri" w:hAnsi="Arial" w:cs="Arial"/>
                <w:b/>
                <w:lang w:eastAsia="en-US"/>
              </w:rPr>
            </w:pPr>
            <w:r w:rsidRPr="0019763D">
              <w:rPr>
                <w:rFonts w:ascii="Arial" w:eastAsia="Calibri" w:hAnsi="Arial" w:cs="Arial"/>
                <w:b/>
                <w:lang w:eastAsia="en-US"/>
              </w:rPr>
              <w:t>Strontium</w:t>
            </w:r>
            <w:r w:rsidRPr="0019763D">
              <w:rPr>
                <w:rFonts w:ascii="Arial" w:eastAsia="Calibri" w:hAnsi="Arial" w:cs="Arial"/>
                <w:b/>
                <w:lang w:eastAsia="en-US"/>
              </w:rPr>
              <w:tab/>
            </w:r>
          </w:p>
        </w:tc>
        <w:tc>
          <w:tcPr>
            <w:tcW w:w="1028" w:type="dxa"/>
          </w:tcPr>
          <w:p w:rsidR="00867265" w:rsidRDefault="00867265" w:rsidP="008C7215">
            <w:pPr>
              <w:jc w:val="center"/>
              <w:rPr>
                <w:noProof/>
              </w:rPr>
            </w:pPr>
          </w:p>
        </w:tc>
        <w:tc>
          <w:tcPr>
            <w:tcW w:w="887" w:type="dxa"/>
            <w:gridSpan w:val="2"/>
          </w:tcPr>
          <w:p w:rsidR="00867265" w:rsidRPr="00B23344" w:rsidRDefault="00867265" w:rsidP="008C7215">
            <w:pPr>
              <w:spacing w:before="60" w:after="60"/>
              <w:jc w:val="center"/>
              <w:rPr>
                <w:rFonts w:ascii="Arial" w:hAnsi="Arial" w:cs="Arial"/>
              </w:rPr>
            </w:pPr>
          </w:p>
        </w:tc>
        <w:tc>
          <w:tcPr>
            <w:tcW w:w="1072" w:type="dxa"/>
            <w:gridSpan w:val="4"/>
          </w:tcPr>
          <w:p w:rsidR="00867265" w:rsidRPr="00702D04" w:rsidRDefault="00867265" w:rsidP="008C7215">
            <w:pPr>
              <w:spacing w:before="60" w:after="60"/>
              <w:rPr>
                <w:rFonts w:ascii="Arial" w:hAnsi="Arial" w:cs="Arial"/>
                <w:iCs/>
              </w:rPr>
            </w:pPr>
          </w:p>
        </w:tc>
        <w:tc>
          <w:tcPr>
            <w:tcW w:w="4943" w:type="dxa"/>
            <w:gridSpan w:val="2"/>
          </w:tcPr>
          <w:p w:rsidR="00867265" w:rsidRPr="0019763D" w:rsidRDefault="0019763D" w:rsidP="0019763D">
            <w:pPr>
              <w:rPr>
                <w:rFonts w:ascii="Arial" w:eastAsia="Calibri" w:hAnsi="Arial" w:cs="Arial"/>
                <w:lang w:eastAsia="en-US"/>
              </w:rPr>
            </w:pPr>
            <w:r w:rsidRPr="0019763D">
              <w:rPr>
                <w:rFonts w:ascii="Arial" w:eastAsia="Calibri" w:hAnsi="Arial" w:cs="Arial"/>
                <w:lang w:eastAsia="en-US"/>
              </w:rPr>
              <w:t xml:space="preserve">Product to be discontinued worldwide from Aug 2017 </w:t>
            </w:r>
            <w:r>
              <w:rPr>
                <w:rFonts w:ascii="Arial" w:eastAsia="Calibri" w:hAnsi="Arial" w:cs="Arial"/>
                <w:lang w:eastAsia="en-US"/>
              </w:rPr>
              <w:t>so</w:t>
            </w:r>
            <w:r w:rsidRPr="0019763D">
              <w:rPr>
                <w:rFonts w:ascii="Arial" w:eastAsia="Calibri" w:hAnsi="Arial" w:cs="Arial"/>
                <w:lang w:eastAsia="en-US"/>
              </w:rPr>
              <w:t xml:space="preserve"> removed from formulary.</w:t>
            </w:r>
          </w:p>
        </w:tc>
      </w:tr>
      <w:tr w:rsidR="00867265" w:rsidRPr="000E3016" w:rsidTr="008B3ED1">
        <w:trPr>
          <w:cantSplit/>
        </w:trPr>
        <w:tc>
          <w:tcPr>
            <w:tcW w:w="2258" w:type="dxa"/>
          </w:tcPr>
          <w:p w:rsidR="00867265" w:rsidRPr="00861C8C" w:rsidRDefault="0019763D" w:rsidP="0019763D">
            <w:pPr>
              <w:tabs>
                <w:tab w:val="left" w:pos="0"/>
                <w:tab w:val="left" w:pos="1200"/>
                <w:tab w:val="left" w:pos="1800"/>
                <w:tab w:val="left" w:pos="2400"/>
                <w:tab w:val="left" w:pos="3000"/>
                <w:tab w:val="left" w:pos="3255"/>
                <w:tab w:val="left" w:pos="3600"/>
                <w:tab w:val="left" w:pos="4200"/>
                <w:tab w:val="left" w:pos="4800"/>
                <w:tab w:val="left" w:pos="5400"/>
                <w:tab w:val="left" w:pos="6000"/>
                <w:tab w:val="left" w:pos="6600"/>
                <w:tab w:val="left" w:pos="7200"/>
                <w:tab w:val="left" w:pos="7800"/>
                <w:tab w:val="left" w:pos="8400"/>
                <w:tab w:val="left" w:pos="9000"/>
              </w:tabs>
              <w:rPr>
                <w:rFonts w:ascii="Arial" w:eastAsia="Calibri" w:hAnsi="Arial" w:cs="Arial"/>
                <w:b/>
                <w:lang w:eastAsia="en-US"/>
              </w:rPr>
            </w:pPr>
            <w:proofErr w:type="spellStart"/>
            <w:r w:rsidRPr="0019763D">
              <w:rPr>
                <w:rFonts w:ascii="Arial" w:eastAsia="Calibri" w:hAnsi="Arial" w:cs="Arial"/>
                <w:b/>
                <w:lang w:eastAsia="en-US"/>
              </w:rPr>
              <w:t>Liraglutide</w:t>
            </w:r>
            <w:proofErr w:type="spellEnd"/>
            <w:r w:rsidRPr="0019763D">
              <w:rPr>
                <w:rFonts w:ascii="Arial" w:eastAsia="Calibri" w:hAnsi="Arial" w:cs="Arial"/>
                <w:b/>
                <w:lang w:eastAsia="en-US"/>
              </w:rPr>
              <w:t xml:space="preserve"> 18 mg/3ml </w:t>
            </w:r>
            <w:proofErr w:type="spellStart"/>
            <w:r w:rsidRPr="0019763D">
              <w:rPr>
                <w:rFonts w:ascii="Arial" w:eastAsia="Calibri" w:hAnsi="Arial" w:cs="Arial"/>
                <w:b/>
                <w:lang w:eastAsia="en-US"/>
              </w:rPr>
              <w:t>soln</w:t>
            </w:r>
            <w:proofErr w:type="spellEnd"/>
            <w:r w:rsidRPr="0019763D">
              <w:rPr>
                <w:rFonts w:ascii="Arial" w:eastAsia="Calibri" w:hAnsi="Arial" w:cs="Arial"/>
                <w:b/>
                <w:lang w:eastAsia="en-US"/>
              </w:rPr>
              <w:t xml:space="preserve"> for </w:t>
            </w:r>
            <w:proofErr w:type="spellStart"/>
            <w:r w:rsidRPr="0019763D">
              <w:rPr>
                <w:rFonts w:ascii="Arial" w:eastAsia="Calibri" w:hAnsi="Arial" w:cs="Arial"/>
                <w:b/>
                <w:lang w:eastAsia="en-US"/>
              </w:rPr>
              <w:t>inj</w:t>
            </w:r>
            <w:proofErr w:type="spellEnd"/>
            <w:r w:rsidRPr="0019763D">
              <w:rPr>
                <w:rFonts w:ascii="Arial" w:eastAsia="Calibri" w:hAnsi="Arial" w:cs="Arial"/>
                <w:b/>
                <w:lang w:eastAsia="en-US"/>
              </w:rPr>
              <w:t xml:space="preserve"> in prefilled pen (</w:t>
            </w:r>
            <w:proofErr w:type="spellStart"/>
            <w:r w:rsidRPr="0019763D">
              <w:rPr>
                <w:rFonts w:ascii="Arial" w:eastAsia="Calibri" w:hAnsi="Arial" w:cs="Arial"/>
                <w:b/>
                <w:lang w:eastAsia="en-US"/>
              </w:rPr>
              <w:t>Saxenda</w:t>
            </w:r>
            <w:proofErr w:type="spellEnd"/>
            <w:r w:rsidRPr="0019763D">
              <w:rPr>
                <w:rFonts w:ascii="Arial" w:eastAsia="Calibri" w:hAnsi="Arial" w:cs="Arial"/>
                <w:b/>
                <w:lang w:eastAsia="en-US"/>
              </w:rPr>
              <w:t>®</w:t>
            </w:r>
            <w:r>
              <w:rPr>
                <w:rFonts w:ascii="Arial" w:eastAsia="Calibri" w:hAnsi="Arial" w:cs="Arial"/>
                <w:b/>
                <w:lang w:eastAsia="en-US"/>
              </w:rPr>
              <w:t>)</w:t>
            </w:r>
            <w:r w:rsidRPr="0019763D">
              <w:rPr>
                <w:rFonts w:ascii="Arial" w:eastAsia="Calibri" w:hAnsi="Arial" w:cs="Arial"/>
                <w:b/>
                <w:lang w:eastAsia="en-US"/>
              </w:rPr>
              <w:t xml:space="preserve"> </w:t>
            </w:r>
          </w:p>
        </w:tc>
        <w:tc>
          <w:tcPr>
            <w:tcW w:w="1028" w:type="dxa"/>
          </w:tcPr>
          <w:p w:rsidR="00867265" w:rsidRDefault="00867265" w:rsidP="00D055F3">
            <w:pPr>
              <w:jc w:val="center"/>
              <w:rPr>
                <w:noProof/>
              </w:rPr>
            </w:pPr>
          </w:p>
        </w:tc>
        <w:tc>
          <w:tcPr>
            <w:tcW w:w="887" w:type="dxa"/>
            <w:gridSpan w:val="2"/>
          </w:tcPr>
          <w:p w:rsidR="00867265" w:rsidRPr="00B23344" w:rsidRDefault="00867265" w:rsidP="00F53278">
            <w:pPr>
              <w:spacing w:before="60" w:after="60"/>
              <w:jc w:val="center"/>
              <w:rPr>
                <w:rFonts w:ascii="Arial" w:hAnsi="Arial" w:cs="Arial"/>
              </w:rPr>
            </w:pPr>
          </w:p>
        </w:tc>
        <w:tc>
          <w:tcPr>
            <w:tcW w:w="1072" w:type="dxa"/>
            <w:gridSpan w:val="4"/>
          </w:tcPr>
          <w:p w:rsidR="00867265" w:rsidRPr="00702D04" w:rsidRDefault="00867265" w:rsidP="00584055">
            <w:pPr>
              <w:spacing w:before="60" w:after="60"/>
              <w:rPr>
                <w:rFonts w:ascii="Arial" w:hAnsi="Arial" w:cs="Arial"/>
                <w:iCs/>
              </w:rPr>
            </w:pPr>
          </w:p>
        </w:tc>
        <w:tc>
          <w:tcPr>
            <w:tcW w:w="4943" w:type="dxa"/>
            <w:gridSpan w:val="2"/>
          </w:tcPr>
          <w:p w:rsidR="00867265" w:rsidRPr="0019763D" w:rsidRDefault="0019763D" w:rsidP="0008182B">
            <w:pPr>
              <w:rPr>
                <w:rFonts w:ascii="Arial" w:eastAsia="Calibri" w:hAnsi="Arial" w:cs="Arial"/>
                <w:lang w:eastAsia="en-US"/>
              </w:rPr>
            </w:pPr>
            <w:r w:rsidRPr="0019763D">
              <w:rPr>
                <w:rFonts w:ascii="Arial" w:eastAsia="Calibri" w:hAnsi="Arial" w:cs="Arial"/>
                <w:lang w:eastAsia="en-US"/>
              </w:rPr>
              <w:t>Added to formulary as NOT REVIEWED drug</w:t>
            </w:r>
            <w:r w:rsidRPr="0019763D">
              <w:rPr>
                <w:rFonts w:ascii="Arial" w:eastAsia="Calibri" w:hAnsi="Arial" w:cs="Arial"/>
                <w:lang w:eastAsia="en-US"/>
              </w:rPr>
              <w:tab/>
              <w:t xml:space="preserve">To make clear that </w:t>
            </w:r>
            <w:proofErr w:type="spellStart"/>
            <w:r w:rsidRPr="0019763D">
              <w:rPr>
                <w:rFonts w:ascii="Arial" w:eastAsia="Calibri" w:hAnsi="Arial" w:cs="Arial"/>
                <w:lang w:eastAsia="en-US"/>
              </w:rPr>
              <w:t>Saxenda</w:t>
            </w:r>
            <w:proofErr w:type="spellEnd"/>
            <w:r w:rsidRPr="0019763D">
              <w:rPr>
                <w:rFonts w:ascii="Arial" w:eastAsia="Calibri" w:hAnsi="Arial" w:cs="Arial"/>
                <w:lang w:eastAsia="en-US"/>
              </w:rPr>
              <w:t>® for use in obesity has not yet been reviewed by APC and as such should not be prescribed.</w:t>
            </w:r>
          </w:p>
        </w:tc>
      </w:tr>
      <w:tr w:rsidR="00867265" w:rsidRPr="000E3016" w:rsidTr="008B3ED1">
        <w:trPr>
          <w:cantSplit/>
        </w:trPr>
        <w:tc>
          <w:tcPr>
            <w:tcW w:w="2258" w:type="dxa"/>
          </w:tcPr>
          <w:p w:rsidR="00867265" w:rsidRPr="00861C8C" w:rsidRDefault="0019763D" w:rsidP="0019763D">
            <w:pPr>
              <w:tabs>
                <w:tab w:val="left" w:pos="0"/>
                <w:tab w:val="left" w:pos="1200"/>
                <w:tab w:val="left" w:pos="1800"/>
                <w:tab w:val="left" w:pos="2400"/>
                <w:tab w:val="left" w:pos="3000"/>
                <w:tab w:val="left" w:pos="3255"/>
                <w:tab w:val="left" w:pos="3600"/>
                <w:tab w:val="left" w:pos="4200"/>
                <w:tab w:val="left" w:pos="4800"/>
                <w:tab w:val="left" w:pos="5400"/>
                <w:tab w:val="left" w:pos="6000"/>
                <w:tab w:val="left" w:pos="6600"/>
                <w:tab w:val="left" w:pos="7200"/>
                <w:tab w:val="left" w:pos="7800"/>
                <w:tab w:val="left" w:pos="8400"/>
                <w:tab w:val="left" w:pos="9000"/>
              </w:tabs>
              <w:rPr>
                <w:rFonts w:ascii="Arial" w:eastAsia="Calibri" w:hAnsi="Arial" w:cs="Arial"/>
                <w:b/>
                <w:lang w:eastAsia="en-US"/>
              </w:rPr>
            </w:pPr>
            <w:proofErr w:type="spellStart"/>
            <w:r w:rsidRPr="0019763D">
              <w:rPr>
                <w:rFonts w:ascii="Arial" w:eastAsia="Calibri" w:hAnsi="Arial" w:cs="Arial"/>
                <w:b/>
                <w:lang w:eastAsia="en-US"/>
              </w:rPr>
              <w:t>Selinium</w:t>
            </w:r>
            <w:proofErr w:type="spellEnd"/>
          </w:p>
        </w:tc>
        <w:tc>
          <w:tcPr>
            <w:tcW w:w="1028" w:type="dxa"/>
          </w:tcPr>
          <w:p w:rsidR="00867265" w:rsidRDefault="00867265" w:rsidP="00D055F3">
            <w:pPr>
              <w:jc w:val="center"/>
              <w:rPr>
                <w:noProof/>
              </w:rPr>
            </w:pPr>
          </w:p>
        </w:tc>
        <w:tc>
          <w:tcPr>
            <w:tcW w:w="887" w:type="dxa"/>
            <w:gridSpan w:val="2"/>
          </w:tcPr>
          <w:p w:rsidR="00867265" w:rsidRPr="00B23344" w:rsidRDefault="00867265" w:rsidP="00F53278">
            <w:pPr>
              <w:spacing w:before="60" w:after="60"/>
              <w:jc w:val="center"/>
              <w:rPr>
                <w:rFonts w:ascii="Arial" w:hAnsi="Arial" w:cs="Arial"/>
              </w:rPr>
            </w:pPr>
          </w:p>
        </w:tc>
        <w:tc>
          <w:tcPr>
            <w:tcW w:w="1072" w:type="dxa"/>
            <w:gridSpan w:val="4"/>
          </w:tcPr>
          <w:p w:rsidR="00867265" w:rsidRPr="00702D04" w:rsidRDefault="00867265" w:rsidP="00584055">
            <w:pPr>
              <w:spacing w:before="60" w:after="60"/>
              <w:rPr>
                <w:rFonts w:ascii="Arial" w:hAnsi="Arial" w:cs="Arial"/>
                <w:iCs/>
              </w:rPr>
            </w:pPr>
          </w:p>
        </w:tc>
        <w:tc>
          <w:tcPr>
            <w:tcW w:w="4943" w:type="dxa"/>
            <w:gridSpan w:val="2"/>
          </w:tcPr>
          <w:p w:rsidR="00867265" w:rsidRPr="0019763D" w:rsidRDefault="0019763D" w:rsidP="0019763D">
            <w:pPr>
              <w:rPr>
                <w:rFonts w:ascii="Arial" w:eastAsia="Calibri" w:hAnsi="Arial" w:cs="Arial"/>
                <w:lang w:eastAsia="en-US"/>
              </w:rPr>
            </w:pPr>
            <w:r w:rsidRPr="0019763D">
              <w:rPr>
                <w:rFonts w:ascii="Arial" w:eastAsia="Calibri" w:hAnsi="Arial" w:cs="Arial"/>
                <w:lang w:eastAsia="en-US"/>
              </w:rPr>
              <w:t>Added to formulary as a RED drug to make clear that for use on ITU only and should not be prescribed in primary care.</w:t>
            </w:r>
          </w:p>
        </w:tc>
      </w:tr>
      <w:tr w:rsidR="0019763D" w:rsidRPr="000E3016" w:rsidTr="008B3ED1">
        <w:trPr>
          <w:cantSplit/>
        </w:trPr>
        <w:tc>
          <w:tcPr>
            <w:tcW w:w="2258" w:type="dxa"/>
          </w:tcPr>
          <w:p w:rsidR="0019763D" w:rsidRPr="0019763D" w:rsidRDefault="0019763D" w:rsidP="0019763D">
            <w:pPr>
              <w:tabs>
                <w:tab w:val="left" w:pos="0"/>
                <w:tab w:val="left" w:pos="1200"/>
                <w:tab w:val="left" w:pos="1800"/>
                <w:tab w:val="left" w:pos="2400"/>
                <w:tab w:val="left" w:pos="3000"/>
                <w:tab w:val="left" w:pos="3255"/>
                <w:tab w:val="left" w:pos="3600"/>
                <w:tab w:val="left" w:pos="4200"/>
                <w:tab w:val="left" w:pos="4800"/>
                <w:tab w:val="left" w:pos="5400"/>
                <w:tab w:val="left" w:pos="6000"/>
                <w:tab w:val="left" w:pos="6600"/>
                <w:tab w:val="left" w:pos="7200"/>
                <w:tab w:val="left" w:pos="7800"/>
                <w:tab w:val="left" w:pos="8400"/>
                <w:tab w:val="left" w:pos="9000"/>
              </w:tabs>
              <w:rPr>
                <w:rFonts w:ascii="Arial" w:eastAsia="Calibri" w:hAnsi="Arial" w:cs="Arial"/>
                <w:b/>
                <w:lang w:eastAsia="en-US"/>
              </w:rPr>
            </w:pPr>
            <w:proofErr w:type="spellStart"/>
            <w:r w:rsidRPr="0019763D">
              <w:rPr>
                <w:rFonts w:ascii="Arial" w:eastAsia="Calibri" w:hAnsi="Arial" w:cs="Arial"/>
                <w:b/>
                <w:lang w:eastAsia="en-US"/>
              </w:rPr>
              <w:t>Retigabine</w:t>
            </w:r>
            <w:proofErr w:type="spellEnd"/>
          </w:p>
        </w:tc>
        <w:tc>
          <w:tcPr>
            <w:tcW w:w="1028" w:type="dxa"/>
          </w:tcPr>
          <w:p w:rsidR="0019763D" w:rsidRDefault="0019763D" w:rsidP="00D055F3">
            <w:pPr>
              <w:jc w:val="center"/>
              <w:rPr>
                <w:noProof/>
              </w:rPr>
            </w:pPr>
          </w:p>
        </w:tc>
        <w:tc>
          <w:tcPr>
            <w:tcW w:w="887" w:type="dxa"/>
            <w:gridSpan w:val="2"/>
          </w:tcPr>
          <w:p w:rsidR="0019763D" w:rsidRPr="00B23344" w:rsidRDefault="0019763D" w:rsidP="00F53278">
            <w:pPr>
              <w:spacing w:before="60" w:after="60"/>
              <w:jc w:val="center"/>
              <w:rPr>
                <w:rFonts w:ascii="Arial" w:hAnsi="Arial" w:cs="Arial"/>
              </w:rPr>
            </w:pPr>
          </w:p>
        </w:tc>
        <w:tc>
          <w:tcPr>
            <w:tcW w:w="1072" w:type="dxa"/>
            <w:gridSpan w:val="4"/>
          </w:tcPr>
          <w:p w:rsidR="0019763D" w:rsidRPr="00702D04" w:rsidRDefault="0019763D" w:rsidP="00584055">
            <w:pPr>
              <w:spacing w:before="60" w:after="60"/>
              <w:rPr>
                <w:rFonts w:ascii="Arial" w:hAnsi="Arial" w:cs="Arial"/>
                <w:iCs/>
              </w:rPr>
            </w:pPr>
          </w:p>
        </w:tc>
        <w:tc>
          <w:tcPr>
            <w:tcW w:w="4943" w:type="dxa"/>
            <w:gridSpan w:val="2"/>
          </w:tcPr>
          <w:p w:rsidR="0019763D" w:rsidRPr="0019763D" w:rsidRDefault="0019763D" w:rsidP="0019763D">
            <w:pPr>
              <w:rPr>
                <w:rFonts w:ascii="Arial" w:eastAsia="Calibri" w:hAnsi="Arial" w:cs="Arial"/>
                <w:lang w:eastAsia="en-US"/>
              </w:rPr>
            </w:pPr>
            <w:r>
              <w:rPr>
                <w:rFonts w:ascii="Arial" w:eastAsia="Calibri" w:hAnsi="Arial" w:cs="Arial"/>
                <w:lang w:eastAsia="en-US"/>
              </w:rPr>
              <w:t>D</w:t>
            </w:r>
            <w:r w:rsidRPr="0019763D">
              <w:rPr>
                <w:rFonts w:ascii="Arial" w:eastAsia="Calibri" w:hAnsi="Arial" w:cs="Arial"/>
                <w:lang w:eastAsia="en-US"/>
              </w:rPr>
              <w:t>elete</w:t>
            </w:r>
            <w:r>
              <w:rPr>
                <w:rFonts w:ascii="Arial" w:eastAsia="Calibri" w:hAnsi="Arial" w:cs="Arial"/>
                <w:lang w:eastAsia="en-US"/>
              </w:rPr>
              <w:t>d</w:t>
            </w:r>
            <w:r w:rsidRPr="0019763D">
              <w:rPr>
                <w:rFonts w:ascii="Arial" w:eastAsia="Calibri" w:hAnsi="Arial" w:cs="Arial"/>
                <w:lang w:eastAsia="en-US"/>
              </w:rPr>
              <w:t xml:space="preserve"> </w:t>
            </w:r>
            <w:proofErr w:type="spellStart"/>
            <w:r w:rsidRPr="0019763D">
              <w:rPr>
                <w:rFonts w:ascii="Arial" w:eastAsia="Calibri" w:hAnsi="Arial" w:cs="Arial"/>
                <w:lang w:eastAsia="en-US"/>
              </w:rPr>
              <w:t>retigabine</w:t>
            </w:r>
            <w:proofErr w:type="spellEnd"/>
            <w:r w:rsidRPr="0019763D">
              <w:rPr>
                <w:rFonts w:ascii="Arial" w:eastAsia="Calibri" w:hAnsi="Arial" w:cs="Arial"/>
                <w:lang w:eastAsia="en-US"/>
              </w:rPr>
              <w:t xml:space="preserve"> from formulary</w:t>
            </w:r>
            <w:r>
              <w:rPr>
                <w:rFonts w:ascii="Arial" w:eastAsia="Calibri" w:hAnsi="Arial" w:cs="Arial"/>
                <w:lang w:eastAsia="en-US"/>
              </w:rPr>
              <w:t xml:space="preserve"> as per MHRA Drug Safety Update May 2017 – all </w:t>
            </w:r>
            <w:r w:rsidRPr="0019763D">
              <w:rPr>
                <w:rFonts w:ascii="Arial" w:eastAsia="Calibri" w:hAnsi="Arial" w:cs="Arial"/>
                <w:lang w:eastAsia="en-US"/>
              </w:rPr>
              <w:t xml:space="preserve">patients must be withdrawn from </w:t>
            </w:r>
            <w:proofErr w:type="spellStart"/>
            <w:r w:rsidRPr="0019763D">
              <w:rPr>
                <w:rFonts w:ascii="Arial" w:eastAsia="Calibri" w:hAnsi="Arial" w:cs="Arial"/>
                <w:lang w:eastAsia="en-US"/>
              </w:rPr>
              <w:t>retigabine</w:t>
            </w:r>
            <w:proofErr w:type="spellEnd"/>
            <w:r w:rsidRPr="0019763D">
              <w:rPr>
                <w:rFonts w:ascii="Arial" w:eastAsia="Calibri" w:hAnsi="Arial" w:cs="Arial"/>
                <w:lang w:eastAsia="en-US"/>
              </w:rPr>
              <w:t xml:space="preserve"> (</w:t>
            </w:r>
            <w:proofErr w:type="spellStart"/>
            <w:r w:rsidRPr="0019763D">
              <w:rPr>
                <w:rFonts w:ascii="Arial" w:eastAsia="Calibri" w:hAnsi="Arial" w:cs="Arial"/>
                <w:lang w:eastAsia="en-US"/>
              </w:rPr>
              <w:t>Trobalt</w:t>
            </w:r>
            <w:proofErr w:type="spellEnd"/>
            <w:r w:rsidRPr="0019763D">
              <w:rPr>
                <w:rFonts w:ascii="Arial" w:eastAsia="Calibri" w:hAnsi="Arial" w:cs="Arial"/>
                <w:lang w:eastAsia="en-US"/>
              </w:rPr>
              <w:t>) by the end of June 2017</w:t>
            </w:r>
            <w:r>
              <w:rPr>
                <w:rFonts w:ascii="Arial" w:eastAsia="Calibri" w:hAnsi="Arial" w:cs="Arial"/>
                <w:lang w:eastAsia="en-US"/>
              </w:rPr>
              <w:t>.</w:t>
            </w:r>
          </w:p>
        </w:tc>
      </w:tr>
    </w:tbl>
    <w:p w:rsidR="00A126C9" w:rsidRDefault="00A126C9" w:rsidP="00A126C9">
      <w:pPr>
        <w:jc w:val="right"/>
        <w:rPr>
          <w:rFonts w:ascii="Arial" w:hAnsi="Arial" w:cs="Arial"/>
          <w:sz w:val="16"/>
        </w:rPr>
      </w:pPr>
    </w:p>
    <w:p w:rsidR="005A18DB" w:rsidRPr="005A18DB" w:rsidRDefault="005A18DB" w:rsidP="005A18DB">
      <w:pPr>
        <w:rPr>
          <w:rFonts w:ascii="Arial" w:hAnsi="Arial" w:cs="Arial"/>
        </w:rPr>
      </w:pPr>
      <w:r w:rsidRPr="005A18DB">
        <w:rPr>
          <w:rFonts w:ascii="Arial" w:hAnsi="Arial" w:cs="Arial"/>
        </w:rPr>
        <w:t>The following guidelines were presented to and approved at the July 2017 meeting of the APC:</w:t>
      </w:r>
    </w:p>
    <w:p w:rsidR="005A18DB" w:rsidRPr="005A18DB" w:rsidRDefault="005A18DB" w:rsidP="005A18DB">
      <w:pPr>
        <w:pStyle w:val="ListParagraph"/>
        <w:numPr>
          <w:ilvl w:val="0"/>
          <w:numId w:val="24"/>
        </w:numPr>
        <w:rPr>
          <w:rFonts w:ascii="Arial" w:hAnsi="Arial" w:cs="Arial"/>
        </w:rPr>
      </w:pPr>
      <w:r w:rsidRPr="005A18DB">
        <w:rPr>
          <w:rFonts w:ascii="Arial" w:hAnsi="Arial" w:cs="Arial"/>
        </w:rPr>
        <w:t>Durham Guidelines for the use of Trans Anal Irrigation (TAI) as a Treatment for Chronic Constipation Refractory to Standard Treatments in Adults</w:t>
      </w:r>
    </w:p>
    <w:p w:rsidR="005A18DB" w:rsidRPr="005A18DB" w:rsidRDefault="005A18DB" w:rsidP="005A18DB">
      <w:pPr>
        <w:rPr>
          <w:rFonts w:ascii="Arial" w:hAnsi="Arial" w:cs="Arial"/>
        </w:rPr>
      </w:pPr>
    </w:p>
    <w:p w:rsidR="005A18DB" w:rsidRPr="005A18DB" w:rsidRDefault="005A18DB" w:rsidP="005A18DB">
      <w:pPr>
        <w:rPr>
          <w:rFonts w:ascii="Arial" w:hAnsi="Arial" w:cs="Arial"/>
        </w:rPr>
      </w:pPr>
      <w:r w:rsidRPr="005A18DB">
        <w:rPr>
          <w:rFonts w:ascii="Arial" w:hAnsi="Arial" w:cs="Arial"/>
        </w:rPr>
        <w:t>The following Green+ drug information leaflets were presented to and approved at the July 2017 meeting of the APC:</w:t>
      </w:r>
    </w:p>
    <w:p w:rsidR="005A18DB" w:rsidRPr="005A18DB" w:rsidRDefault="005A18DB" w:rsidP="005A18DB">
      <w:pPr>
        <w:pStyle w:val="ListParagraph"/>
        <w:numPr>
          <w:ilvl w:val="0"/>
          <w:numId w:val="24"/>
        </w:numPr>
        <w:rPr>
          <w:rFonts w:ascii="Arial" w:hAnsi="Arial" w:cs="Arial"/>
        </w:rPr>
      </w:pPr>
      <w:proofErr w:type="spellStart"/>
      <w:r w:rsidRPr="005A18DB">
        <w:rPr>
          <w:rFonts w:ascii="Arial" w:hAnsi="Arial" w:cs="Arial"/>
        </w:rPr>
        <w:t>Colistimethate</w:t>
      </w:r>
      <w:proofErr w:type="spellEnd"/>
      <w:r w:rsidRPr="005A18DB">
        <w:rPr>
          <w:rFonts w:ascii="Arial" w:hAnsi="Arial" w:cs="Arial"/>
        </w:rPr>
        <w:t xml:space="preserve"> sodium (</w:t>
      </w:r>
      <w:proofErr w:type="spellStart"/>
      <w:r w:rsidRPr="005A18DB">
        <w:rPr>
          <w:rFonts w:ascii="Arial" w:hAnsi="Arial" w:cs="Arial"/>
        </w:rPr>
        <w:t>Colomycin</w:t>
      </w:r>
      <w:proofErr w:type="spellEnd"/>
      <w:r w:rsidRPr="005A18DB">
        <w:rPr>
          <w:rFonts w:ascii="Arial" w:hAnsi="Arial" w:cs="Arial"/>
        </w:rPr>
        <w:t>®) for Nebulisation in Patients with Non-Cystic Fibrosis Bronchiectasis</w:t>
      </w:r>
      <w:r w:rsidRPr="005A18DB">
        <w:rPr>
          <w:rFonts w:ascii="Arial" w:hAnsi="Arial" w:cs="Arial"/>
        </w:rPr>
        <w:t xml:space="preserve"> - </w:t>
      </w:r>
      <w:r w:rsidRPr="005A18DB">
        <w:rPr>
          <w:rFonts w:ascii="Arial" w:hAnsi="Arial" w:cs="Arial"/>
        </w:rPr>
        <w:t>INFORMATION FOR PRIMARY CARE</w:t>
      </w:r>
    </w:p>
    <w:p w:rsidR="005A18DB" w:rsidRPr="005A18DB" w:rsidRDefault="005A18DB" w:rsidP="005A18DB">
      <w:pPr>
        <w:rPr>
          <w:rFonts w:ascii="Arial" w:hAnsi="Arial" w:cs="Arial"/>
        </w:rPr>
      </w:pPr>
    </w:p>
    <w:p w:rsidR="005A18DB" w:rsidRPr="005A18DB" w:rsidRDefault="005A18DB" w:rsidP="005A18DB">
      <w:pPr>
        <w:rPr>
          <w:rFonts w:ascii="Arial" w:hAnsi="Arial" w:cs="Arial"/>
        </w:rPr>
      </w:pPr>
      <w:r w:rsidRPr="005A18DB">
        <w:rPr>
          <w:rFonts w:ascii="Arial" w:hAnsi="Arial" w:cs="Arial"/>
        </w:rPr>
        <w:t>The following shared care guidelines were presented to and approved at the July 2017 meeting of the APC:</w:t>
      </w:r>
    </w:p>
    <w:p w:rsidR="005A18DB" w:rsidRPr="005A18DB" w:rsidRDefault="005A18DB" w:rsidP="005A18DB">
      <w:pPr>
        <w:pStyle w:val="ListParagraph"/>
        <w:numPr>
          <w:ilvl w:val="0"/>
          <w:numId w:val="24"/>
        </w:numPr>
        <w:rPr>
          <w:rFonts w:ascii="Arial" w:hAnsi="Arial" w:cs="Arial"/>
        </w:rPr>
      </w:pPr>
      <w:proofErr w:type="spellStart"/>
      <w:r w:rsidRPr="005A18DB">
        <w:rPr>
          <w:rFonts w:ascii="Arial" w:hAnsi="Arial" w:cs="Arial"/>
        </w:rPr>
        <w:t>Atomoxetine</w:t>
      </w:r>
      <w:proofErr w:type="spellEnd"/>
      <w:r w:rsidRPr="005A18DB">
        <w:rPr>
          <w:rFonts w:ascii="Arial" w:hAnsi="Arial" w:cs="Arial"/>
        </w:rPr>
        <w:t xml:space="preserve"> (TEWV)</w:t>
      </w:r>
    </w:p>
    <w:p w:rsidR="005A18DB" w:rsidRPr="005A18DB" w:rsidRDefault="005A18DB" w:rsidP="005A18DB">
      <w:pPr>
        <w:pStyle w:val="ListParagraph"/>
        <w:numPr>
          <w:ilvl w:val="0"/>
          <w:numId w:val="24"/>
        </w:numPr>
        <w:rPr>
          <w:rFonts w:ascii="Arial" w:hAnsi="Arial" w:cs="Arial"/>
        </w:rPr>
      </w:pPr>
      <w:r w:rsidRPr="005A18DB">
        <w:rPr>
          <w:rFonts w:ascii="Arial" w:hAnsi="Arial" w:cs="Arial"/>
        </w:rPr>
        <w:t>Methylphenidate (TEWV)</w:t>
      </w:r>
    </w:p>
    <w:sectPr w:rsidR="005A18DB" w:rsidRPr="005A18DB" w:rsidSect="0007593D">
      <w:headerReference w:type="default" r:id="rId17"/>
      <w:footerReference w:type="default" r:id="rId18"/>
      <w:pgSz w:w="11907" w:h="16840" w:code="9"/>
      <w:pgMar w:top="1021" w:right="1021" w:bottom="1021" w:left="102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9C3" w:rsidRDefault="003649C3">
      <w:r>
        <w:separator/>
      </w:r>
    </w:p>
  </w:endnote>
  <w:endnote w:type="continuationSeparator" w:id="0">
    <w:p w:rsidR="003649C3" w:rsidRDefault="00364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784" w:rsidRPr="00601886" w:rsidRDefault="00DA1784" w:rsidP="00601886">
    <w:pPr>
      <w:pStyle w:val="Footer"/>
      <w:tabs>
        <w:tab w:val="clear" w:pos="4320"/>
        <w:tab w:val="clear" w:pos="8640"/>
        <w:tab w:val="right" w:pos="10773"/>
      </w:tabs>
      <w:jc w:val="center"/>
      <w:rPr>
        <w:rFonts w:ascii="Arial" w:hAnsi="Arial" w:cs="Arial"/>
        <w:sz w:val="16"/>
      </w:rPr>
    </w:pPr>
    <w:r w:rsidRPr="00601886">
      <w:rPr>
        <w:rFonts w:ascii="Arial" w:hAnsi="Arial" w:cs="Arial"/>
        <w:sz w:val="16"/>
      </w:rPr>
      <w:t xml:space="preserve">Page </w:t>
    </w:r>
    <w:r w:rsidRPr="00601886">
      <w:rPr>
        <w:rFonts w:ascii="Arial" w:hAnsi="Arial" w:cs="Arial"/>
        <w:sz w:val="16"/>
      </w:rPr>
      <w:fldChar w:fldCharType="begin"/>
    </w:r>
    <w:r w:rsidRPr="00601886">
      <w:rPr>
        <w:rFonts w:ascii="Arial" w:hAnsi="Arial" w:cs="Arial"/>
        <w:sz w:val="16"/>
      </w:rPr>
      <w:instrText xml:space="preserve"> PAGE </w:instrText>
    </w:r>
    <w:r w:rsidRPr="00601886">
      <w:rPr>
        <w:rFonts w:ascii="Arial" w:hAnsi="Arial" w:cs="Arial"/>
        <w:sz w:val="16"/>
      </w:rPr>
      <w:fldChar w:fldCharType="separate"/>
    </w:r>
    <w:r w:rsidR="003640E7">
      <w:rPr>
        <w:rFonts w:ascii="Arial" w:hAnsi="Arial" w:cs="Arial"/>
        <w:noProof/>
        <w:sz w:val="16"/>
      </w:rPr>
      <w:t>2</w:t>
    </w:r>
    <w:r w:rsidRPr="00601886">
      <w:rPr>
        <w:rFonts w:ascii="Arial" w:hAnsi="Arial" w:cs="Arial"/>
        <w:sz w:val="16"/>
      </w:rPr>
      <w:fldChar w:fldCharType="end"/>
    </w:r>
    <w:r w:rsidRPr="00601886">
      <w:rPr>
        <w:rFonts w:ascii="Arial" w:hAnsi="Arial" w:cs="Arial"/>
        <w:sz w:val="16"/>
      </w:rPr>
      <w:t xml:space="preserve"> of </w:t>
    </w:r>
    <w:r w:rsidRPr="00601886">
      <w:rPr>
        <w:rFonts w:ascii="Arial" w:hAnsi="Arial" w:cs="Arial"/>
        <w:sz w:val="16"/>
      </w:rPr>
      <w:fldChar w:fldCharType="begin"/>
    </w:r>
    <w:r w:rsidRPr="00601886">
      <w:rPr>
        <w:rFonts w:ascii="Arial" w:hAnsi="Arial" w:cs="Arial"/>
        <w:sz w:val="16"/>
      </w:rPr>
      <w:instrText xml:space="preserve"> NUMPAGES </w:instrText>
    </w:r>
    <w:r w:rsidRPr="00601886">
      <w:rPr>
        <w:rFonts w:ascii="Arial" w:hAnsi="Arial" w:cs="Arial"/>
        <w:sz w:val="16"/>
      </w:rPr>
      <w:fldChar w:fldCharType="separate"/>
    </w:r>
    <w:r w:rsidR="003640E7">
      <w:rPr>
        <w:rFonts w:ascii="Arial" w:hAnsi="Arial" w:cs="Arial"/>
        <w:noProof/>
        <w:sz w:val="16"/>
      </w:rPr>
      <w:t>2</w:t>
    </w:r>
    <w:r w:rsidRPr="00601886">
      <w:rPr>
        <w:rFonts w:ascii="Arial" w:hAnsi="Arial" w:cs="Arial"/>
        <w:sz w:val="16"/>
      </w:rPr>
      <w:fldChar w:fldCharType="end"/>
    </w:r>
  </w:p>
  <w:p w:rsidR="00DA1784" w:rsidRPr="00601886" w:rsidRDefault="00DA1784" w:rsidP="00601886">
    <w:pPr>
      <w:rPr>
        <w:rFonts w:ascii="Arial" w:hAnsi="Arial" w:cs="Arial"/>
      </w:rPr>
    </w:pPr>
    <w:r w:rsidRPr="00BF193A">
      <w:rPr>
        <w:rFonts w:ascii="Arial" w:hAnsi="Arial" w:cs="Arial"/>
        <w:sz w:val="16"/>
        <w:szCs w:val="16"/>
      </w:rPr>
      <w:fldChar w:fldCharType="begin"/>
    </w:r>
    <w:r w:rsidRPr="00BF193A">
      <w:rPr>
        <w:rFonts w:ascii="Arial" w:hAnsi="Arial" w:cs="Arial"/>
        <w:sz w:val="16"/>
        <w:szCs w:val="16"/>
      </w:rPr>
      <w:instrText xml:space="preserve"> FILENAME </w:instrText>
    </w:r>
    <w:r w:rsidRPr="00BF193A">
      <w:rPr>
        <w:rFonts w:ascii="Arial" w:hAnsi="Arial" w:cs="Arial"/>
        <w:sz w:val="16"/>
        <w:szCs w:val="16"/>
      </w:rPr>
      <w:fldChar w:fldCharType="separate"/>
    </w:r>
    <w:r w:rsidR="007445D4">
      <w:rPr>
        <w:rFonts w:ascii="Arial" w:hAnsi="Arial" w:cs="Arial"/>
        <w:noProof/>
        <w:sz w:val="16"/>
        <w:szCs w:val="16"/>
      </w:rPr>
      <w:t>APC Decision Summary July 2017</w:t>
    </w:r>
    <w:r w:rsidRPr="00BF193A">
      <w:rPr>
        <w:rFonts w:ascii="Arial" w:hAnsi="Arial" w:cs="Arial"/>
        <w:sz w:val="16"/>
        <w:szCs w:val="16"/>
      </w:rPr>
      <w:fldChar w:fldCharType="end"/>
    </w:r>
    <w:r>
      <w:rPr>
        <w:rFonts w:ascii="Arial" w:hAnsi="Arial" w:cs="Arial"/>
        <w:sz w:val="16"/>
        <w:szCs w:val="16"/>
      </w:rPr>
      <w:t xml:space="preserve"> </w:t>
    </w:r>
  </w:p>
  <w:p w:rsidR="00DA1784" w:rsidRPr="00601886" w:rsidRDefault="00DA1784">
    <w:pPr>
      <w:pStyle w:val="Foo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9C3" w:rsidRDefault="003649C3">
      <w:r>
        <w:separator/>
      </w:r>
    </w:p>
  </w:footnote>
  <w:footnote w:type="continuationSeparator" w:id="0">
    <w:p w:rsidR="003649C3" w:rsidRDefault="003649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784" w:rsidRPr="003A25ED" w:rsidRDefault="00DA1784" w:rsidP="00984262">
    <w:pPr>
      <w:pStyle w:val="Header"/>
      <w:tabs>
        <w:tab w:val="clear" w:pos="8640"/>
        <w:tab w:val="right" w:pos="9781"/>
      </w:tabs>
      <w:rPr>
        <w:rFonts w:ascii="Arial" w:hAnsi="Arial" w:cs="Arial"/>
      </w:rPr>
    </w:pPr>
    <w:r w:rsidRPr="003A25ED">
      <w:rPr>
        <w:rFonts w:ascii="Arial" w:hAnsi="Arial" w:cs="Arial"/>
        <w:sz w:val="16"/>
        <w:szCs w:val="16"/>
      </w:rPr>
      <w:t>DECISION SUMMAR</w:t>
    </w:r>
    <w:r>
      <w:rPr>
        <w:rFonts w:ascii="Arial" w:hAnsi="Arial" w:cs="Arial"/>
        <w:sz w:val="16"/>
        <w:szCs w:val="16"/>
      </w:rPr>
      <w:t>Y</w:t>
    </w:r>
    <w:r>
      <w:rPr>
        <w:rFonts w:ascii="Arial" w:hAnsi="Arial" w:cs="Arial"/>
        <w:sz w:val="16"/>
        <w:szCs w:val="16"/>
      </w:rPr>
      <w:tab/>
    </w:r>
    <w:r>
      <w:rPr>
        <w:rFonts w:ascii="Arial" w:hAnsi="Arial" w:cs="Arial"/>
        <w:sz w:val="16"/>
        <w:szCs w:val="16"/>
      </w:rPr>
      <w:tab/>
    </w:r>
    <w:r w:rsidR="00BE4983">
      <w:rPr>
        <w:rFonts w:ascii="Arial" w:hAnsi="Arial" w:cs="Arial"/>
        <w:noProof/>
        <w:sz w:val="16"/>
        <w:szCs w:val="16"/>
      </w:rPr>
      <w:drawing>
        <wp:inline distT="0" distB="0" distL="0" distR="0" wp14:anchorId="6F4B80FD" wp14:editId="3EA05D3A">
          <wp:extent cx="1314450" cy="695325"/>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6953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 o:bullet="t">
        <v:imagedata r:id="rId1" o:title="tick"/>
      </v:shape>
    </w:pict>
  </w:numPicBullet>
  <w:numPicBullet w:numPicBulletId="1">
    <w:pict>
      <v:shape id="_x0000_i1027" type="#_x0000_t75" style="width:12.75pt;height:12.75pt;visibility:visible;mso-wrap-style:square" o:bullet="t">
        <v:imagedata r:id="rId2" o:title=""/>
      </v:shape>
    </w:pict>
  </w:numPicBullet>
  <w:numPicBullet w:numPicBulletId="2">
    <w:pict>
      <v:shape id="_x0000_i1028" type="#_x0000_t75" style="width:12pt;height:12pt;visibility:visible;mso-wrap-style:square" o:bullet="t">
        <v:imagedata r:id="rId3" o:title=""/>
      </v:shape>
    </w:pict>
  </w:numPicBullet>
  <w:numPicBullet w:numPicBulletId="3">
    <w:pict>
      <v:shape id="_x0000_i1029" type="#_x0000_t75" style="width:12.75pt;height:12.75pt;visibility:visible;mso-wrap-style:square" o:bullet="t">
        <v:imagedata r:id="rId4" o:title=""/>
      </v:shape>
    </w:pict>
  </w:numPicBullet>
  <w:abstractNum w:abstractNumId="0">
    <w:nsid w:val="02120CA2"/>
    <w:multiLevelType w:val="hybridMultilevel"/>
    <w:tmpl w:val="A510E708"/>
    <w:lvl w:ilvl="0" w:tplc="A606C49A">
      <w:start w:val="1"/>
      <w:numFmt w:val="bullet"/>
      <w:lvlText w:val=""/>
      <w:lvlPicBulletId w:val="0"/>
      <w:lvlJc w:val="left"/>
      <w:pPr>
        <w:tabs>
          <w:tab w:val="num" w:pos="720"/>
        </w:tabs>
        <w:ind w:left="720" w:hanging="360"/>
      </w:pPr>
      <w:rPr>
        <w:rFonts w:ascii="Symbol" w:hAnsi="Symbol" w:hint="default"/>
      </w:rPr>
    </w:lvl>
    <w:lvl w:ilvl="1" w:tplc="BDE8FF02" w:tentative="1">
      <w:start w:val="1"/>
      <w:numFmt w:val="bullet"/>
      <w:lvlText w:val=""/>
      <w:lvlJc w:val="left"/>
      <w:pPr>
        <w:tabs>
          <w:tab w:val="num" w:pos="1440"/>
        </w:tabs>
        <w:ind w:left="1440" w:hanging="360"/>
      </w:pPr>
      <w:rPr>
        <w:rFonts w:ascii="Symbol" w:hAnsi="Symbol" w:hint="default"/>
      </w:rPr>
    </w:lvl>
    <w:lvl w:ilvl="2" w:tplc="7D5A759E" w:tentative="1">
      <w:start w:val="1"/>
      <w:numFmt w:val="bullet"/>
      <w:lvlText w:val=""/>
      <w:lvlJc w:val="left"/>
      <w:pPr>
        <w:tabs>
          <w:tab w:val="num" w:pos="2160"/>
        </w:tabs>
        <w:ind w:left="2160" w:hanging="360"/>
      </w:pPr>
      <w:rPr>
        <w:rFonts w:ascii="Symbol" w:hAnsi="Symbol" w:hint="default"/>
      </w:rPr>
    </w:lvl>
    <w:lvl w:ilvl="3" w:tplc="A8F40C7C" w:tentative="1">
      <w:start w:val="1"/>
      <w:numFmt w:val="bullet"/>
      <w:lvlText w:val=""/>
      <w:lvlJc w:val="left"/>
      <w:pPr>
        <w:tabs>
          <w:tab w:val="num" w:pos="2880"/>
        </w:tabs>
        <w:ind w:left="2880" w:hanging="360"/>
      </w:pPr>
      <w:rPr>
        <w:rFonts w:ascii="Symbol" w:hAnsi="Symbol" w:hint="default"/>
      </w:rPr>
    </w:lvl>
    <w:lvl w:ilvl="4" w:tplc="34CCFA0E" w:tentative="1">
      <w:start w:val="1"/>
      <w:numFmt w:val="bullet"/>
      <w:lvlText w:val=""/>
      <w:lvlJc w:val="left"/>
      <w:pPr>
        <w:tabs>
          <w:tab w:val="num" w:pos="3600"/>
        </w:tabs>
        <w:ind w:left="3600" w:hanging="360"/>
      </w:pPr>
      <w:rPr>
        <w:rFonts w:ascii="Symbol" w:hAnsi="Symbol" w:hint="default"/>
      </w:rPr>
    </w:lvl>
    <w:lvl w:ilvl="5" w:tplc="8E561626" w:tentative="1">
      <w:start w:val="1"/>
      <w:numFmt w:val="bullet"/>
      <w:lvlText w:val=""/>
      <w:lvlJc w:val="left"/>
      <w:pPr>
        <w:tabs>
          <w:tab w:val="num" w:pos="4320"/>
        </w:tabs>
        <w:ind w:left="4320" w:hanging="360"/>
      </w:pPr>
      <w:rPr>
        <w:rFonts w:ascii="Symbol" w:hAnsi="Symbol" w:hint="default"/>
      </w:rPr>
    </w:lvl>
    <w:lvl w:ilvl="6" w:tplc="361667F4" w:tentative="1">
      <w:start w:val="1"/>
      <w:numFmt w:val="bullet"/>
      <w:lvlText w:val=""/>
      <w:lvlJc w:val="left"/>
      <w:pPr>
        <w:tabs>
          <w:tab w:val="num" w:pos="5040"/>
        </w:tabs>
        <w:ind w:left="5040" w:hanging="360"/>
      </w:pPr>
      <w:rPr>
        <w:rFonts w:ascii="Symbol" w:hAnsi="Symbol" w:hint="default"/>
      </w:rPr>
    </w:lvl>
    <w:lvl w:ilvl="7" w:tplc="9034A03C" w:tentative="1">
      <w:start w:val="1"/>
      <w:numFmt w:val="bullet"/>
      <w:lvlText w:val=""/>
      <w:lvlJc w:val="left"/>
      <w:pPr>
        <w:tabs>
          <w:tab w:val="num" w:pos="5760"/>
        </w:tabs>
        <w:ind w:left="5760" w:hanging="360"/>
      </w:pPr>
      <w:rPr>
        <w:rFonts w:ascii="Symbol" w:hAnsi="Symbol" w:hint="default"/>
      </w:rPr>
    </w:lvl>
    <w:lvl w:ilvl="8" w:tplc="8948F676" w:tentative="1">
      <w:start w:val="1"/>
      <w:numFmt w:val="bullet"/>
      <w:lvlText w:val=""/>
      <w:lvlJc w:val="left"/>
      <w:pPr>
        <w:tabs>
          <w:tab w:val="num" w:pos="6480"/>
        </w:tabs>
        <w:ind w:left="6480" w:hanging="360"/>
      </w:pPr>
      <w:rPr>
        <w:rFonts w:ascii="Symbol" w:hAnsi="Symbol" w:hint="default"/>
      </w:rPr>
    </w:lvl>
  </w:abstractNum>
  <w:abstractNum w:abstractNumId="1">
    <w:nsid w:val="05B23E6E"/>
    <w:multiLevelType w:val="hybridMultilevel"/>
    <w:tmpl w:val="CC380480"/>
    <w:lvl w:ilvl="0" w:tplc="F84AE02A">
      <w:start w:val="1"/>
      <w:numFmt w:val="bullet"/>
      <w:lvlText w:val=""/>
      <w:lvlPicBulletId w:val="0"/>
      <w:lvlJc w:val="left"/>
      <w:pPr>
        <w:tabs>
          <w:tab w:val="num" w:pos="360"/>
        </w:tabs>
        <w:ind w:left="360" w:hanging="360"/>
      </w:pPr>
      <w:rPr>
        <w:rFonts w:ascii="Symbol" w:hAnsi="Symbol" w:hint="default"/>
      </w:rPr>
    </w:lvl>
    <w:lvl w:ilvl="1" w:tplc="50F68724" w:tentative="1">
      <w:start w:val="1"/>
      <w:numFmt w:val="bullet"/>
      <w:lvlText w:val=""/>
      <w:lvlJc w:val="left"/>
      <w:pPr>
        <w:tabs>
          <w:tab w:val="num" w:pos="1080"/>
        </w:tabs>
        <w:ind w:left="1080" w:hanging="360"/>
      </w:pPr>
      <w:rPr>
        <w:rFonts w:ascii="Symbol" w:hAnsi="Symbol" w:hint="default"/>
      </w:rPr>
    </w:lvl>
    <w:lvl w:ilvl="2" w:tplc="F5069754" w:tentative="1">
      <w:start w:val="1"/>
      <w:numFmt w:val="bullet"/>
      <w:lvlText w:val=""/>
      <w:lvlJc w:val="left"/>
      <w:pPr>
        <w:tabs>
          <w:tab w:val="num" w:pos="1800"/>
        </w:tabs>
        <w:ind w:left="1800" w:hanging="360"/>
      </w:pPr>
      <w:rPr>
        <w:rFonts w:ascii="Symbol" w:hAnsi="Symbol" w:hint="default"/>
      </w:rPr>
    </w:lvl>
    <w:lvl w:ilvl="3" w:tplc="E0F6EC3C" w:tentative="1">
      <w:start w:val="1"/>
      <w:numFmt w:val="bullet"/>
      <w:lvlText w:val=""/>
      <w:lvlJc w:val="left"/>
      <w:pPr>
        <w:tabs>
          <w:tab w:val="num" w:pos="2520"/>
        </w:tabs>
        <w:ind w:left="2520" w:hanging="360"/>
      </w:pPr>
      <w:rPr>
        <w:rFonts w:ascii="Symbol" w:hAnsi="Symbol" w:hint="default"/>
      </w:rPr>
    </w:lvl>
    <w:lvl w:ilvl="4" w:tplc="56BCD914" w:tentative="1">
      <w:start w:val="1"/>
      <w:numFmt w:val="bullet"/>
      <w:lvlText w:val=""/>
      <w:lvlJc w:val="left"/>
      <w:pPr>
        <w:tabs>
          <w:tab w:val="num" w:pos="3240"/>
        </w:tabs>
        <w:ind w:left="3240" w:hanging="360"/>
      </w:pPr>
      <w:rPr>
        <w:rFonts w:ascii="Symbol" w:hAnsi="Symbol" w:hint="default"/>
      </w:rPr>
    </w:lvl>
    <w:lvl w:ilvl="5" w:tplc="5BD0CB8A" w:tentative="1">
      <w:start w:val="1"/>
      <w:numFmt w:val="bullet"/>
      <w:lvlText w:val=""/>
      <w:lvlJc w:val="left"/>
      <w:pPr>
        <w:tabs>
          <w:tab w:val="num" w:pos="3960"/>
        </w:tabs>
        <w:ind w:left="3960" w:hanging="360"/>
      </w:pPr>
      <w:rPr>
        <w:rFonts w:ascii="Symbol" w:hAnsi="Symbol" w:hint="default"/>
      </w:rPr>
    </w:lvl>
    <w:lvl w:ilvl="6" w:tplc="FEBE7D6E" w:tentative="1">
      <w:start w:val="1"/>
      <w:numFmt w:val="bullet"/>
      <w:lvlText w:val=""/>
      <w:lvlJc w:val="left"/>
      <w:pPr>
        <w:tabs>
          <w:tab w:val="num" w:pos="4680"/>
        </w:tabs>
        <w:ind w:left="4680" w:hanging="360"/>
      </w:pPr>
      <w:rPr>
        <w:rFonts w:ascii="Symbol" w:hAnsi="Symbol" w:hint="default"/>
      </w:rPr>
    </w:lvl>
    <w:lvl w:ilvl="7" w:tplc="48346E9A" w:tentative="1">
      <w:start w:val="1"/>
      <w:numFmt w:val="bullet"/>
      <w:lvlText w:val=""/>
      <w:lvlJc w:val="left"/>
      <w:pPr>
        <w:tabs>
          <w:tab w:val="num" w:pos="5400"/>
        </w:tabs>
        <w:ind w:left="5400" w:hanging="360"/>
      </w:pPr>
      <w:rPr>
        <w:rFonts w:ascii="Symbol" w:hAnsi="Symbol" w:hint="default"/>
      </w:rPr>
    </w:lvl>
    <w:lvl w:ilvl="8" w:tplc="66182A96" w:tentative="1">
      <w:start w:val="1"/>
      <w:numFmt w:val="bullet"/>
      <w:lvlText w:val=""/>
      <w:lvlJc w:val="left"/>
      <w:pPr>
        <w:tabs>
          <w:tab w:val="num" w:pos="6120"/>
        </w:tabs>
        <w:ind w:left="6120" w:hanging="360"/>
      </w:pPr>
      <w:rPr>
        <w:rFonts w:ascii="Symbol" w:hAnsi="Symbol" w:hint="default"/>
      </w:rPr>
    </w:lvl>
  </w:abstractNum>
  <w:abstractNum w:abstractNumId="2">
    <w:nsid w:val="1257378C"/>
    <w:multiLevelType w:val="hybridMultilevel"/>
    <w:tmpl w:val="7396B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D9510F2"/>
    <w:multiLevelType w:val="hybridMultilevel"/>
    <w:tmpl w:val="9BFA71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F152307"/>
    <w:multiLevelType w:val="hybridMultilevel"/>
    <w:tmpl w:val="E6BEA20C"/>
    <w:lvl w:ilvl="0" w:tplc="3490E5EE">
      <w:start w:val="1"/>
      <w:numFmt w:val="bullet"/>
      <w:lvlText w:val=""/>
      <w:lvlPicBulletId w:val="0"/>
      <w:lvlJc w:val="left"/>
      <w:pPr>
        <w:tabs>
          <w:tab w:val="num" w:pos="720"/>
        </w:tabs>
        <w:ind w:left="720" w:hanging="360"/>
      </w:pPr>
      <w:rPr>
        <w:rFonts w:ascii="Symbol" w:hAnsi="Symbol" w:hint="default"/>
      </w:rPr>
    </w:lvl>
    <w:lvl w:ilvl="1" w:tplc="766C9398" w:tentative="1">
      <w:start w:val="1"/>
      <w:numFmt w:val="bullet"/>
      <w:lvlText w:val=""/>
      <w:lvlJc w:val="left"/>
      <w:pPr>
        <w:tabs>
          <w:tab w:val="num" w:pos="1440"/>
        </w:tabs>
        <w:ind w:left="1440" w:hanging="360"/>
      </w:pPr>
      <w:rPr>
        <w:rFonts w:ascii="Symbol" w:hAnsi="Symbol" w:hint="default"/>
      </w:rPr>
    </w:lvl>
    <w:lvl w:ilvl="2" w:tplc="ADD2D8AA" w:tentative="1">
      <w:start w:val="1"/>
      <w:numFmt w:val="bullet"/>
      <w:lvlText w:val=""/>
      <w:lvlJc w:val="left"/>
      <w:pPr>
        <w:tabs>
          <w:tab w:val="num" w:pos="2160"/>
        </w:tabs>
        <w:ind w:left="2160" w:hanging="360"/>
      </w:pPr>
      <w:rPr>
        <w:rFonts w:ascii="Symbol" w:hAnsi="Symbol" w:hint="default"/>
      </w:rPr>
    </w:lvl>
    <w:lvl w:ilvl="3" w:tplc="9A9615E0" w:tentative="1">
      <w:start w:val="1"/>
      <w:numFmt w:val="bullet"/>
      <w:lvlText w:val=""/>
      <w:lvlJc w:val="left"/>
      <w:pPr>
        <w:tabs>
          <w:tab w:val="num" w:pos="2880"/>
        </w:tabs>
        <w:ind w:left="2880" w:hanging="360"/>
      </w:pPr>
      <w:rPr>
        <w:rFonts w:ascii="Symbol" w:hAnsi="Symbol" w:hint="default"/>
      </w:rPr>
    </w:lvl>
    <w:lvl w:ilvl="4" w:tplc="87762038" w:tentative="1">
      <w:start w:val="1"/>
      <w:numFmt w:val="bullet"/>
      <w:lvlText w:val=""/>
      <w:lvlJc w:val="left"/>
      <w:pPr>
        <w:tabs>
          <w:tab w:val="num" w:pos="3600"/>
        </w:tabs>
        <w:ind w:left="3600" w:hanging="360"/>
      </w:pPr>
      <w:rPr>
        <w:rFonts w:ascii="Symbol" w:hAnsi="Symbol" w:hint="default"/>
      </w:rPr>
    </w:lvl>
    <w:lvl w:ilvl="5" w:tplc="55AE50E8" w:tentative="1">
      <w:start w:val="1"/>
      <w:numFmt w:val="bullet"/>
      <w:lvlText w:val=""/>
      <w:lvlJc w:val="left"/>
      <w:pPr>
        <w:tabs>
          <w:tab w:val="num" w:pos="4320"/>
        </w:tabs>
        <w:ind w:left="4320" w:hanging="360"/>
      </w:pPr>
      <w:rPr>
        <w:rFonts w:ascii="Symbol" w:hAnsi="Symbol" w:hint="default"/>
      </w:rPr>
    </w:lvl>
    <w:lvl w:ilvl="6" w:tplc="47C0056A" w:tentative="1">
      <w:start w:val="1"/>
      <w:numFmt w:val="bullet"/>
      <w:lvlText w:val=""/>
      <w:lvlJc w:val="left"/>
      <w:pPr>
        <w:tabs>
          <w:tab w:val="num" w:pos="5040"/>
        </w:tabs>
        <w:ind w:left="5040" w:hanging="360"/>
      </w:pPr>
      <w:rPr>
        <w:rFonts w:ascii="Symbol" w:hAnsi="Symbol" w:hint="default"/>
      </w:rPr>
    </w:lvl>
    <w:lvl w:ilvl="7" w:tplc="F4225A72" w:tentative="1">
      <w:start w:val="1"/>
      <w:numFmt w:val="bullet"/>
      <w:lvlText w:val=""/>
      <w:lvlJc w:val="left"/>
      <w:pPr>
        <w:tabs>
          <w:tab w:val="num" w:pos="5760"/>
        </w:tabs>
        <w:ind w:left="5760" w:hanging="360"/>
      </w:pPr>
      <w:rPr>
        <w:rFonts w:ascii="Symbol" w:hAnsi="Symbol" w:hint="default"/>
      </w:rPr>
    </w:lvl>
    <w:lvl w:ilvl="8" w:tplc="35BCB3D8" w:tentative="1">
      <w:start w:val="1"/>
      <w:numFmt w:val="bullet"/>
      <w:lvlText w:val=""/>
      <w:lvlJc w:val="left"/>
      <w:pPr>
        <w:tabs>
          <w:tab w:val="num" w:pos="6480"/>
        </w:tabs>
        <w:ind w:left="6480" w:hanging="360"/>
      </w:pPr>
      <w:rPr>
        <w:rFonts w:ascii="Symbol" w:hAnsi="Symbol" w:hint="default"/>
      </w:rPr>
    </w:lvl>
  </w:abstractNum>
  <w:abstractNum w:abstractNumId="5">
    <w:nsid w:val="32121476"/>
    <w:multiLevelType w:val="hybridMultilevel"/>
    <w:tmpl w:val="F3E40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A25612A"/>
    <w:multiLevelType w:val="hybridMultilevel"/>
    <w:tmpl w:val="BC42B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27C627E"/>
    <w:multiLevelType w:val="hybridMultilevel"/>
    <w:tmpl w:val="8AA66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3A130BF"/>
    <w:multiLevelType w:val="hybridMultilevel"/>
    <w:tmpl w:val="A43C1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805243A"/>
    <w:multiLevelType w:val="hybridMultilevel"/>
    <w:tmpl w:val="06F8C9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89E2714"/>
    <w:multiLevelType w:val="hybridMultilevel"/>
    <w:tmpl w:val="C4F2FF9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4C0514FE"/>
    <w:multiLevelType w:val="hybridMultilevel"/>
    <w:tmpl w:val="F1D62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D24291A"/>
    <w:multiLevelType w:val="hybridMultilevel"/>
    <w:tmpl w:val="FF8C4F4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4E0E3AEB"/>
    <w:multiLevelType w:val="hybridMultilevel"/>
    <w:tmpl w:val="0F92A09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4E1D7464"/>
    <w:multiLevelType w:val="multilevel"/>
    <w:tmpl w:val="E92AA9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1EC1A09"/>
    <w:multiLevelType w:val="hybridMultilevel"/>
    <w:tmpl w:val="E6A4E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3EA7BFB"/>
    <w:multiLevelType w:val="hybridMultilevel"/>
    <w:tmpl w:val="35CC4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56A009F"/>
    <w:multiLevelType w:val="hybridMultilevel"/>
    <w:tmpl w:val="F0069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13D2DC1"/>
    <w:multiLevelType w:val="hybridMultilevel"/>
    <w:tmpl w:val="27C61F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5FC3191"/>
    <w:multiLevelType w:val="hybridMultilevel"/>
    <w:tmpl w:val="936AE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1505C53"/>
    <w:multiLevelType w:val="hybridMultilevel"/>
    <w:tmpl w:val="25F8F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B205781"/>
    <w:multiLevelType w:val="hybridMultilevel"/>
    <w:tmpl w:val="64048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B694D80"/>
    <w:multiLevelType w:val="hybridMultilevel"/>
    <w:tmpl w:val="E2268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E81708C"/>
    <w:multiLevelType w:val="hybridMultilevel"/>
    <w:tmpl w:val="56E860CE"/>
    <w:lvl w:ilvl="0" w:tplc="4E3602A2">
      <w:start w:val="1"/>
      <w:numFmt w:val="bullet"/>
      <w:lvlText w:val="-"/>
      <w:lvlJc w:val="left"/>
      <w:pPr>
        <w:tabs>
          <w:tab w:val="num" w:pos="360"/>
        </w:tabs>
        <w:ind w:left="360" w:hanging="360"/>
      </w:pPr>
      <w:rPr>
        <w:rFonts w:ascii="Arial" w:eastAsia="Times New Roman" w:hAnsi="Arial" w:cs="Aria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23"/>
  </w:num>
  <w:num w:numId="2">
    <w:abstractNumId w:val="10"/>
  </w:num>
  <w:num w:numId="3">
    <w:abstractNumId w:val="16"/>
  </w:num>
  <w:num w:numId="4">
    <w:abstractNumId w:val="13"/>
  </w:num>
  <w:num w:numId="5">
    <w:abstractNumId w:val="12"/>
  </w:num>
  <w:num w:numId="6">
    <w:abstractNumId w:val="9"/>
  </w:num>
  <w:num w:numId="7">
    <w:abstractNumId w:val="3"/>
  </w:num>
  <w:num w:numId="8">
    <w:abstractNumId w:val="18"/>
  </w:num>
  <w:num w:numId="9">
    <w:abstractNumId w:val="0"/>
  </w:num>
  <w:num w:numId="10">
    <w:abstractNumId w:val="20"/>
  </w:num>
  <w:num w:numId="11">
    <w:abstractNumId w:val="1"/>
  </w:num>
  <w:num w:numId="12">
    <w:abstractNumId w:val="6"/>
  </w:num>
  <w:num w:numId="13">
    <w:abstractNumId w:val="4"/>
  </w:num>
  <w:num w:numId="14">
    <w:abstractNumId w:val="14"/>
  </w:num>
  <w:num w:numId="15">
    <w:abstractNumId w:val="17"/>
  </w:num>
  <w:num w:numId="16">
    <w:abstractNumId w:val="15"/>
  </w:num>
  <w:num w:numId="17">
    <w:abstractNumId w:val="22"/>
  </w:num>
  <w:num w:numId="18">
    <w:abstractNumId w:val="21"/>
  </w:num>
  <w:num w:numId="19">
    <w:abstractNumId w:val="7"/>
  </w:num>
  <w:num w:numId="20">
    <w:abstractNumId w:val="2"/>
  </w:num>
  <w:num w:numId="21">
    <w:abstractNumId w:val="19"/>
  </w:num>
  <w:num w:numId="22">
    <w:abstractNumId w:val="8"/>
  </w:num>
  <w:num w:numId="23">
    <w:abstractNumId w:val="11"/>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053"/>
    <w:rsid w:val="00012D75"/>
    <w:rsid w:val="000157F5"/>
    <w:rsid w:val="00015B7C"/>
    <w:rsid w:val="00016586"/>
    <w:rsid w:val="00016FAF"/>
    <w:rsid w:val="000171D8"/>
    <w:rsid w:val="000223FA"/>
    <w:rsid w:val="00026838"/>
    <w:rsid w:val="00044C65"/>
    <w:rsid w:val="00054C5E"/>
    <w:rsid w:val="00064123"/>
    <w:rsid w:val="00071A3E"/>
    <w:rsid w:val="0007593D"/>
    <w:rsid w:val="0008182B"/>
    <w:rsid w:val="000876B8"/>
    <w:rsid w:val="00093D01"/>
    <w:rsid w:val="000B3AA2"/>
    <w:rsid w:val="000D36C8"/>
    <w:rsid w:val="000D6C52"/>
    <w:rsid w:val="000E206E"/>
    <w:rsid w:val="000E3016"/>
    <w:rsid w:val="000E5139"/>
    <w:rsid w:val="000F0DA2"/>
    <w:rsid w:val="000F3021"/>
    <w:rsid w:val="000F352F"/>
    <w:rsid w:val="000F732E"/>
    <w:rsid w:val="00101B64"/>
    <w:rsid w:val="00112D40"/>
    <w:rsid w:val="00115907"/>
    <w:rsid w:val="00116B8F"/>
    <w:rsid w:val="00130EE1"/>
    <w:rsid w:val="00137A2B"/>
    <w:rsid w:val="00140D28"/>
    <w:rsid w:val="00146418"/>
    <w:rsid w:val="00171115"/>
    <w:rsid w:val="00186F9D"/>
    <w:rsid w:val="0019763D"/>
    <w:rsid w:val="001B6BC0"/>
    <w:rsid w:val="001B79B0"/>
    <w:rsid w:val="001C02ED"/>
    <w:rsid w:val="001C4A18"/>
    <w:rsid w:val="001D35BD"/>
    <w:rsid w:val="001E7152"/>
    <w:rsid w:val="00202311"/>
    <w:rsid w:val="00213D89"/>
    <w:rsid w:val="002257CA"/>
    <w:rsid w:val="00226244"/>
    <w:rsid w:val="00230265"/>
    <w:rsid w:val="0023039D"/>
    <w:rsid w:val="00230CBE"/>
    <w:rsid w:val="00231F78"/>
    <w:rsid w:val="002329C7"/>
    <w:rsid w:val="00250BDB"/>
    <w:rsid w:val="00265BC1"/>
    <w:rsid w:val="00282B3D"/>
    <w:rsid w:val="0029425F"/>
    <w:rsid w:val="002A68F1"/>
    <w:rsid w:val="002F0B29"/>
    <w:rsid w:val="003001E4"/>
    <w:rsid w:val="00310222"/>
    <w:rsid w:val="00312420"/>
    <w:rsid w:val="0031567A"/>
    <w:rsid w:val="00321B29"/>
    <w:rsid w:val="00325B99"/>
    <w:rsid w:val="00340FDB"/>
    <w:rsid w:val="00341BE5"/>
    <w:rsid w:val="0034339A"/>
    <w:rsid w:val="003525C9"/>
    <w:rsid w:val="003640E7"/>
    <w:rsid w:val="003649C3"/>
    <w:rsid w:val="00381592"/>
    <w:rsid w:val="00393FE2"/>
    <w:rsid w:val="003A25ED"/>
    <w:rsid w:val="003A32E9"/>
    <w:rsid w:val="003A4949"/>
    <w:rsid w:val="003A6853"/>
    <w:rsid w:val="003A7066"/>
    <w:rsid w:val="003C2E5A"/>
    <w:rsid w:val="003D4473"/>
    <w:rsid w:val="003D659A"/>
    <w:rsid w:val="003F003B"/>
    <w:rsid w:val="004106F8"/>
    <w:rsid w:val="00416E6F"/>
    <w:rsid w:val="00421E4E"/>
    <w:rsid w:val="00441009"/>
    <w:rsid w:val="004424E7"/>
    <w:rsid w:val="00450980"/>
    <w:rsid w:val="00480876"/>
    <w:rsid w:val="00496508"/>
    <w:rsid w:val="004B5295"/>
    <w:rsid w:val="004C2BEB"/>
    <w:rsid w:val="004D46EB"/>
    <w:rsid w:val="004F3B1C"/>
    <w:rsid w:val="0051099D"/>
    <w:rsid w:val="00523BB5"/>
    <w:rsid w:val="0052578B"/>
    <w:rsid w:val="005331EC"/>
    <w:rsid w:val="0055075A"/>
    <w:rsid w:val="00564D49"/>
    <w:rsid w:val="00571D17"/>
    <w:rsid w:val="005827D1"/>
    <w:rsid w:val="00584055"/>
    <w:rsid w:val="005844DD"/>
    <w:rsid w:val="00586468"/>
    <w:rsid w:val="005A05B5"/>
    <w:rsid w:val="005A18DB"/>
    <w:rsid w:val="005A1D29"/>
    <w:rsid w:val="005A442E"/>
    <w:rsid w:val="005A5ED5"/>
    <w:rsid w:val="005D3D39"/>
    <w:rsid w:val="00601886"/>
    <w:rsid w:val="00625A6D"/>
    <w:rsid w:val="0063301E"/>
    <w:rsid w:val="006375E2"/>
    <w:rsid w:val="006573D1"/>
    <w:rsid w:val="006600D8"/>
    <w:rsid w:val="00662BDD"/>
    <w:rsid w:val="00665222"/>
    <w:rsid w:val="00665BDD"/>
    <w:rsid w:val="00667A11"/>
    <w:rsid w:val="00672501"/>
    <w:rsid w:val="00682632"/>
    <w:rsid w:val="00690940"/>
    <w:rsid w:val="006A2292"/>
    <w:rsid w:val="006B20E3"/>
    <w:rsid w:val="006B3120"/>
    <w:rsid w:val="006D41D3"/>
    <w:rsid w:val="006E4F48"/>
    <w:rsid w:val="007040DB"/>
    <w:rsid w:val="00726811"/>
    <w:rsid w:val="00726C81"/>
    <w:rsid w:val="007339F9"/>
    <w:rsid w:val="007421DE"/>
    <w:rsid w:val="007445D4"/>
    <w:rsid w:val="00746C93"/>
    <w:rsid w:val="0076119D"/>
    <w:rsid w:val="00764859"/>
    <w:rsid w:val="00770CEC"/>
    <w:rsid w:val="007756AD"/>
    <w:rsid w:val="00785F51"/>
    <w:rsid w:val="007865CC"/>
    <w:rsid w:val="00790516"/>
    <w:rsid w:val="00794739"/>
    <w:rsid w:val="007A4A70"/>
    <w:rsid w:val="007D7EDA"/>
    <w:rsid w:val="008040FC"/>
    <w:rsid w:val="00813957"/>
    <w:rsid w:val="008223CD"/>
    <w:rsid w:val="00831B1B"/>
    <w:rsid w:val="008336C5"/>
    <w:rsid w:val="00843332"/>
    <w:rsid w:val="00843E38"/>
    <w:rsid w:val="00843E3E"/>
    <w:rsid w:val="008553FC"/>
    <w:rsid w:val="00861C8C"/>
    <w:rsid w:val="00867265"/>
    <w:rsid w:val="00867A7F"/>
    <w:rsid w:val="00871500"/>
    <w:rsid w:val="0088209C"/>
    <w:rsid w:val="00885051"/>
    <w:rsid w:val="008B3ED1"/>
    <w:rsid w:val="008B4850"/>
    <w:rsid w:val="008C20F2"/>
    <w:rsid w:val="008D57AB"/>
    <w:rsid w:val="008E0E78"/>
    <w:rsid w:val="008E6DEC"/>
    <w:rsid w:val="008E6F55"/>
    <w:rsid w:val="00904772"/>
    <w:rsid w:val="00912416"/>
    <w:rsid w:val="0092291F"/>
    <w:rsid w:val="00931408"/>
    <w:rsid w:val="00952CC3"/>
    <w:rsid w:val="00961F78"/>
    <w:rsid w:val="00984262"/>
    <w:rsid w:val="00994A41"/>
    <w:rsid w:val="009A2A69"/>
    <w:rsid w:val="009A4007"/>
    <w:rsid w:val="009A6DAB"/>
    <w:rsid w:val="009B6359"/>
    <w:rsid w:val="009B6BD2"/>
    <w:rsid w:val="009C0050"/>
    <w:rsid w:val="009D51D0"/>
    <w:rsid w:val="009D77D8"/>
    <w:rsid w:val="009E4750"/>
    <w:rsid w:val="009E6245"/>
    <w:rsid w:val="00A02F1D"/>
    <w:rsid w:val="00A11C95"/>
    <w:rsid w:val="00A126C9"/>
    <w:rsid w:val="00A27771"/>
    <w:rsid w:val="00A30765"/>
    <w:rsid w:val="00A4712C"/>
    <w:rsid w:val="00A55D95"/>
    <w:rsid w:val="00A81AC6"/>
    <w:rsid w:val="00A858B7"/>
    <w:rsid w:val="00A91EF3"/>
    <w:rsid w:val="00A94627"/>
    <w:rsid w:val="00A97DA4"/>
    <w:rsid w:val="00AA1C89"/>
    <w:rsid w:val="00AA602E"/>
    <w:rsid w:val="00AB1272"/>
    <w:rsid w:val="00AB386E"/>
    <w:rsid w:val="00AD7360"/>
    <w:rsid w:val="00AE028B"/>
    <w:rsid w:val="00AE32DF"/>
    <w:rsid w:val="00AE54AE"/>
    <w:rsid w:val="00AE6461"/>
    <w:rsid w:val="00AF2F83"/>
    <w:rsid w:val="00B01634"/>
    <w:rsid w:val="00B10566"/>
    <w:rsid w:val="00B32D46"/>
    <w:rsid w:val="00B43EBB"/>
    <w:rsid w:val="00B441EE"/>
    <w:rsid w:val="00B61518"/>
    <w:rsid w:val="00B63148"/>
    <w:rsid w:val="00B72053"/>
    <w:rsid w:val="00B729BA"/>
    <w:rsid w:val="00B75EEB"/>
    <w:rsid w:val="00B93304"/>
    <w:rsid w:val="00BA0AD6"/>
    <w:rsid w:val="00BA2893"/>
    <w:rsid w:val="00BA4978"/>
    <w:rsid w:val="00BA4BA8"/>
    <w:rsid w:val="00BC2EC4"/>
    <w:rsid w:val="00BC4BF2"/>
    <w:rsid w:val="00BD671D"/>
    <w:rsid w:val="00BE4983"/>
    <w:rsid w:val="00BE5EC3"/>
    <w:rsid w:val="00BF193A"/>
    <w:rsid w:val="00C31616"/>
    <w:rsid w:val="00C332AA"/>
    <w:rsid w:val="00C5017D"/>
    <w:rsid w:val="00C629B7"/>
    <w:rsid w:val="00C73469"/>
    <w:rsid w:val="00C82F1C"/>
    <w:rsid w:val="00C858F9"/>
    <w:rsid w:val="00C878EC"/>
    <w:rsid w:val="00C93DB2"/>
    <w:rsid w:val="00C9668A"/>
    <w:rsid w:val="00C96A46"/>
    <w:rsid w:val="00CA0C36"/>
    <w:rsid w:val="00CA6AEE"/>
    <w:rsid w:val="00CF3FEA"/>
    <w:rsid w:val="00D055F3"/>
    <w:rsid w:val="00D16AC4"/>
    <w:rsid w:val="00D27395"/>
    <w:rsid w:val="00D31FC6"/>
    <w:rsid w:val="00D562A5"/>
    <w:rsid w:val="00D64876"/>
    <w:rsid w:val="00D648F6"/>
    <w:rsid w:val="00D714BF"/>
    <w:rsid w:val="00D746AF"/>
    <w:rsid w:val="00D81637"/>
    <w:rsid w:val="00D82230"/>
    <w:rsid w:val="00DA1784"/>
    <w:rsid w:val="00DA6CBF"/>
    <w:rsid w:val="00DB022F"/>
    <w:rsid w:val="00DC0FD6"/>
    <w:rsid w:val="00DD07FB"/>
    <w:rsid w:val="00DD43E6"/>
    <w:rsid w:val="00DE3DA8"/>
    <w:rsid w:val="00E037A0"/>
    <w:rsid w:val="00E03C84"/>
    <w:rsid w:val="00E15C79"/>
    <w:rsid w:val="00E403DD"/>
    <w:rsid w:val="00E508AD"/>
    <w:rsid w:val="00E6292C"/>
    <w:rsid w:val="00E74BDD"/>
    <w:rsid w:val="00E84227"/>
    <w:rsid w:val="00EA46A8"/>
    <w:rsid w:val="00ED7BAC"/>
    <w:rsid w:val="00EE0206"/>
    <w:rsid w:val="00EF659C"/>
    <w:rsid w:val="00F03A14"/>
    <w:rsid w:val="00F136C2"/>
    <w:rsid w:val="00F25715"/>
    <w:rsid w:val="00F27B06"/>
    <w:rsid w:val="00F374BB"/>
    <w:rsid w:val="00F53278"/>
    <w:rsid w:val="00F57F86"/>
    <w:rsid w:val="00F67EC9"/>
    <w:rsid w:val="00F73E31"/>
    <w:rsid w:val="00F750DF"/>
    <w:rsid w:val="00F76D06"/>
    <w:rsid w:val="00F80537"/>
    <w:rsid w:val="00F855A2"/>
    <w:rsid w:val="00FC3CA9"/>
    <w:rsid w:val="00FC6D36"/>
    <w:rsid w:val="00FC7D73"/>
    <w:rsid w:val="00FD5B75"/>
    <w:rsid w:val="00FE1F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2053"/>
  </w:style>
  <w:style w:type="paragraph" w:styleId="Heading2">
    <w:name w:val="heading 2"/>
    <w:basedOn w:val="Normal"/>
    <w:next w:val="Normal"/>
    <w:qFormat/>
    <w:rsid w:val="000171D8"/>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74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A25ED"/>
    <w:pPr>
      <w:tabs>
        <w:tab w:val="center" w:pos="4320"/>
        <w:tab w:val="right" w:pos="8640"/>
      </w:tabs>
    </w:pPr>
  </w:style>
  <w:style w:type="paragraph" w:styleId="Footer">
    <w:name w:val="footer"/>
    <w:basedOn w:val="Normal"/>
    <w:rsid w:val="003A25ED"/>
    <w:pPr>
      <w:tabs>
        <w:tab w:val="center" w:pos="4320"/>
        <w:tab w:val="right" w:pos="8640"/>
      </w:tabs>
    </w:pPr>
  </w:style>
  <w:style w:type="paragraph" w:styleId="FootnoteText">
    <w:name w:val="footnote text"/>
    <w:basedOn w:val="Normal"/>
    <w:semiHidden/>
    <w:rsid w:val="004424E7"/>
    <w:rPr>
      <w:lang w:eastAsia="en-US"/>
    </w:rPr>
  </w:style>
  <w:style w:type="character" w:styleId="FootnoteReference">
    <w:name w:val="footnote reference"/>
    <w:semiHidden/>
    <w:rsid w:val="004424E7"/>
    <w:rPr>
      <w:vertAlign w:val="superscript"/>
    </w:rPr>
  </w:style>
  <w:style w:type="paragraph" w:customStyle="1" w:styleId="NormalArial">
    <w:name w:val="Normal+Arial"/>
    <w:basedOn w:val="Heading2"/>
    <w:rsid w:val="000171D8"/>
    <w:rPr>
      <w:lang w:eastAsia="en-US"/>
    </w:rPr>
  </w:style>
  <w:style w:type="paragraph" w:styleId="BodyTextIndent">
    <w:name w:val="Body Text Indent"/>
    <w:basedOn w:val="Normal"/>
    <w:rsid w:val="000171D8"/>
    <w:pPr>
      <w:ind w:left="360"/>
    </w:pPr>
    <w:rPr>
      <w:rFonts w:ascii="Arial" w:hAnsi="Arial"/>
      <w:sz w:val="24"/>
    </w:rPr>
  </w:style>
  <w:style w:type="paragraph" w:customStyle="1" w:styleId="subhead1">
    <w:name w:val="subhead1"/>
    <w:basedOn w:val="Normal"/>
    <w:rsid w:val="00AB386E"/>
    <w:rPr>
      <w:b/>
      <w:bCs/>
      <w:sz w:val="24"/>
      <w:lang w:eastAsia="en-US"/>
    </w:rPr>
  </w:style>
  <w:style w:type="paragraph" w:styleId="Title">
    <w:name w:val="Title"/>
    <w:basedOn w:val="Normal"/>
    <w:qFormat/>
    <w:rsid w:val="002329C7"/>
    <w:pPr>
      <w:jc w:val="center"/>
    </w:pPr>
    <w:rPr>
      <w:sz w:val="24"/>
      <w:lang w:eastAsia="en-US"/>
    </w:rPr>
  </w:style>
  <w:style w:type="paragraph" w:styleId="BodyTextIndent3">
    <w:name w:val="Body Text Indent 3"/>
    <w:basedOn w:val="Normal"/>
    <w:rsid w:val="00312420"/>
    <w:pPr>
      <w:ind w:left="720" w:firstLine="6"/>
      <w:jc w:val="both"/>
    </w:pPr>
    <w:rPr>
      <w:rFonts w:ascii="Arial" w:hAnsi="Arial"/>
      <w:sz w:val="24"/>
    </w:rPr>
  </w:style>
  <w:style w:type="paragraph" w:styleId="BalloonText">
    <w:name w:val="Balloon Text"/>
    <w:basedOn w:val="Normal"/>
    <w:link w:val="BalloonTextChar"/>
    <w:rsid w:val="0052578B"/>
    <w:rPr>
      <w:rFonts w:ascii="Tahoma" w:hAnsi="Tahoma" w:cs="Tahoma"/>
      <w:sz w:val="16"/>
      <w:szCs w:val="16"/>
    </w:rPr>
  </w:style>
  <w:style w:type="character" w:customStyle="1" w:styleId="BalloonTextChar">
    <w:name w:val="Balloon Text Char"/>
    <w:link w:val="BalloonText"/>
    <w:rsid w:val="0052578B"/>
    <w:rPr>
      <w:rFonts w:ascii="Tahoma" w:hAnsi="Tahoma" w:cs="Tahoma"/>
      <w:sz w:val="16"/>
      <w:szCs w:val="16"/>
    </w:rPr>
  </w:style>
  <w:style w:type="paragraph" w:customStyle="1" w:styleId="Default">
    <w:name w:val="Default"/>
    <w:rsid w:val="0063301E"/>
    <w:pPr>
      <w:autoSpaceDE w:val="0"/>
      <w:autoSpaceDN w:val="0"/>
      <w:adjustRightInd w:val="0"/>
    </w:pPr>
    <w:rPr>
      <w:rFonts w:ascii="Arial" w:hAnsi="Arial" w:cs="Arial"/>
      <w:color w:val="000000"/>
      <w:sz w:val="24"/>
      <w:szCs w:val="24"/>
      <w:lang w:val="en-US" w:eastAsia="en-US"/>
    </w:rPr>
  </w:style>
  <w:style w:type="paragraph" w:styleId="NormalWeb">
    <w:name w:val="Normal (Web)"/>
    <w:basedOn w:val="Normal"/>
    <w:rsid w:val="002F0B29"/>
    <w:pPr>
      <w:spacing w:before="100" w:beforeAutospacing="1" w:after="100" w:afterAutospacing="1"/>
    </w:pPr>
    <w:rPr>
      <w:sz w:val="24"/>
      <w:szCs w:val="24"/>
    </w:rPr>
  </w:style>
  <w:style w:type="character" w:styleId="CommentReference">
    <w:name w:val="annotation reference"/>
    <w:rsid w:val="00C31616"/>
    <w:rPr>
      <w:sz w:val="16"/>
      <w:szCs w:val="16"/>
    </w:rPr>
  </w:style>
  <w:style w:type="paragraph" w:styleId="CommentText">
    <w:name w:val="annotation text"/>
    <w:basedOn w:val="Normal"/>
    <w:link w:val="CommentTextChar"/>
    <w:rsid w:val="00C31616"/>
  </w:style>
  <w:style w:type="character" w:customStyle="1" w:styleId="CommentTextChar">
    <w:name w:val="Comment Text Char"/>
    <w:basedOn w:val="DefaultParagraphFont"/>
    <w:link w:val="CommentText"/>
    <w:rsid w:val="00C31616"/>
  </w:style>
  <w:style w:type="paragraph" w:styleId="CommentSubject">
    <w:name w:val="annotation subject"/>
    <w:basedOn w:val="CommentText"/>
    <w:next w:val="CommentText"/>
    <w:link w:val="CommentSubjectChar"/>
    <w:rsid w:val="00C31616"/>
    <w:rPr>
      <w:b/>
      <w:bCs/>
    </w:rPr>
  </w:style>
  <w:style w:type="character" w:customStyle="1" w:styleId="CommentSubjectChar">
    <w:name w:val="Comment Subject Char"/>
    <w:link w:val="CommentSubject"/>
    <w:rsid w:val="00C31616"/>
    <w:rPr>
      <w:b/>
      <w:bCs/>
    </w:rPr>
  </w:style>
  <w:style w:type="paragraph" w:styleId="ListParagraph">
    <w:name w:val="List Paragraph"/>
    <w:basedOn w:val="Normal"/>
    <w:uiPriority w:val="34"/>
    <w:qFormat/>
    <w:rsid w:val="00C82F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2053"/>
  </w:style>
  <w:style w:type="paragraph" w:styleId="Heading2">
    <w:name w:val="heading 2"/>
    <w:basedOn w:val="Normal"/>
    <w:next w:val="Normal"/>
    <w:qFormat/>
    <w:rsid w:val="000171D8"/>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74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A25ED"/>
    <w:pPr>
      <w:tabs>
        <w:tab w:val="center" w:pos="4320"/>
        <w:tab w:val="right" w:pos="8640"/>
      </w:tabs>
    </w:pPr>
  </w:style>
  <w:style w:type="paragraph" w:styleId="Footer">
    <w:name w:val="footer"/>
    <w:basedOn w:val="Normal"/>
    <w:rsid w:val="003A25ED"/>
    <w:pPr>
      <w:tabs>
        <w:tab w:val="center" w:pos="4320"/>
        <w:tab w:val="right" w:pos="8640"/>
      </w:tabs>
    </w:pPr>
  </w:style>
  <w:style w:type="paragraph" w:styleId="FootnoteText">
    <w:name w:val="footnote text"/>
    <w:basedOn w:val="Normal"/>
    <w:semiHidden/>
    <w:rsid w:val="004424E7"/>
    <w:rPr>
      <w:lang w:eastAsia="en-US"/>
    </w:rPr>
  </w:style>
  <w:style w:type="character" w:styleId="FootnoteReference">
    <w:name w:val="footnote reference"/>
    <w:semiHidden/>
    <w:rsid w:val="004424E7"/>
    <w:rPr>
      <w:vertAlign w:val="superscript"/>
    </w:rPr>
  </w:style>
  <w:style w:type="paragraph" w:customStyle="1" w:styleId="NormalArial">
    <w:name w:val="Normal+Arial"/>
    <w:basedOn w:val="Heading2"/>
    <w:rsid w:val="000171D8"/>
    <w:rPr>
      <w:lang w:eastAsia="en-US"/>
    </w:rPr>
  </w:style>
  <w:style w:type="paragraph" w:styleId="BodyTextIndent">
    <w:name w:val="Body Text Indent"/>
    <w:basedOn w:val="Normal"/>
    <w:rsid w:val="000171D8"/>
    <w:pPr>
      <w:ind w:left="360"/>
    </w:pPr>
    <w:rPr>
      <w:rFonts w:ascii="Arial" w:hAnsi="Arial"/>
      <w:sz w:val="24"/>
    </w:rPr>
  </w:style>
  <w:style w:type="paragraph" w:customStyle="1" w:styleId="subhead1">
    <w:name w:val="subhead1"/>
    <w:basedOn w:val="Normal"/>
    <w:rsid w:val="00AB386E"/>
    <w:rPr>
      <w:b/>
      <w:bCs/>
      <w:sz w:val="24"/>
      <w:lang w:eastAsia="en-US"/>
    </w:rPr>
  </w:style>
  <w:style w:type="paragraph" w:styleId="Title">
    <w:name w:val="Title"/>
    <w:basedOn w:val="Normal"/>
    <w:qFormat/>
    <w:rsid w:val="002329C7"/>
    <w:pPr>
      <w:jc w:val="center"/>
    </w:pPr>
    <w:rPr>
      <w:sz w:val="24"/>
      <w:lang w:eastAsia="en-US"/>
    </w:rPr>
  </w:style>
  <w:style w:type="paragraph" w:styleId="BodyTextIndent3">
    <w:name w:val="Body Text Indent 3"/>
    <w:basedOn w:val="Normal"/>
    <w:rsid w:val="00312420"/>
    <w:pPr>
      <w:ind w:left="720" w:firstLine="6"/>
      <w:jc w:val="both"/>
    </w:pPr>
    <w:rPr>
      <w:rFonts w:ascii="Arial" w:hAnsi="Arial"/>
      <w:sz w:val="24"/>
    </w:rPr>
  </w:style>
  <w:style w:type="paragraph" w:styleId="BalloonText">
    <w:name w:val="Balloon Text"/>
    <w:basedOn w:val="Normal"/>
    <w:link w:val="BalloonTextChar"/>
    <w:rsid w:val="0052578B"/>
    <w:rPr>
      <w:rFonts w:ascii="Tahoma" w:hAnsi="Tahoma" w:cs="Tahoma"/>
      <w:sz w:val="16"/>
      <w:szCs w:val="16"/>
    </w:rPr>
  </w:style>
  <w:style w:type="character" w:customStyle="1" w:styleId="BalloonTextChar">
    <w:name w:val="Balloon Text Char"/>
    <w:link w:val="BalloonText"/>
    <w:rsid w:val="0052578B"/>
    <w:rPr>
      <w:rFonts w:ascii="Tahoma" w:hAnsi="Tahoma" w:cs="Tahoma"/>
      <w:sz w:val="16"/>
      <w:szCs w:val="16"/>
    </w:rPr>
  </w:style>
  <w:style w:type="paragraph" w:customStyle="1" w:styleId="Default">
    <w:name w:val="Default"/>
    <w:rsid w:val="0063301E"/>
    <w:pPr>
      <w:autoSpaceDE w:val="0"/>
      <w:autoSpaceDN w:val="0"/>
      <w:adjustRightInd w:val="0"/>
    </w:pPr>
    <w:rPr>
      <w:rFonts w:ascii="Arial" w:hAnsi="Arial" w:cs="Arial"/>
      <w:color w:val="000000"/>
      <w:sz w:val="24"/>
      <w:szCs w:val="24"/>
      <w:lang w:val="en-US" w:eastAsia="en-US"/>
    </w:rPr>
  </w:style>
  <w:style w:type="paragraph" w:styleId="NormalWeb">
    <w:name w:val="Normal (Web)"/>
    <w:basedOn w:val="Normal"/>
    <w:rsid w:val="002F0B29"/>
    <w:pPr>
      <w:spacing w:before="100" w:beforeAutospacing="1" w:after="100" w:afterAutospacing="1"/>
    </w:pPr>
    <w:rPr>
      <w:sz w:val="24"/>
      <w:szCs w:val="24"/>
    </w:rPr>
  </w:style>
  <w:style w:type="character" w:styleId="CommentReference">
    <w:name w:val="annotation reference"/>
    <w:rsid w:val="00C31616"/>
    <w:rPr>
      <w:sz w:val="16"/>
      <w:szCs w:val="16"/>
    </w:rPr>
  </w:style>
  <w:style w:type="paragraph" w:styleId="CommentText">
    <w:name w:val="annotation text"/>
    <w:basedOn w:val="Normal"/>
    <w:link w:val="CommentTextChar"/>
    <w:rsid w:val="00C31616"/>
  </w:style>
  <w:style w:type="character" w:customStyle="1" w:styleId="CommentTextChar">
    <w:name w:val="Comment Text Char"/>
    <w:basedOn w:val="DefaultParagraphFont"/>
    <w:link w:val="CommentText"/>
    <w:rsid w:val="00C31616"/>
  </w:style>
  <w:style w:type="paragraph" w:styleId="CommentSubject">
    <w:name w:val="annotation subject"/>
    <w:basedOn w:val="CommentText"/>
    <w:next w:val="CommentText"/>
    <w:link w:val="CommentSubjectChar"/>
    <w:rsid w:val="00C31616"/>
    <w:rPr>
      <w:b/>
      <w:bCs/>
    </w:rPr>
  </w:style>
  <w:style w:type="character" w:customStyle="1" w:styleId="CommentSubjectChar">
    <w:name w:val="Comment Subject Char"/>
    <w:link w:val="CommentSubject"/>
    <w:rsid w:val="00C31616"/>
    <w:rPr>
      <w:b/>
      <w:bCs/>
    </w:rPr>
  </w:style>
  <w:style w:type="paragraph" w:styleId="ListParagraph">
    <w:name w:val="List Paragraph"/>
    <w:basedOn w:val="Normal"/>
    <w:uiPriority w:val="34"/>
    <w:qFormat/>
    <w:rsid w:val="00C82F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4538">
      <w:bodyDiv w:val="1"/>
      <w:marLeft w:val="0"/>
      <w:marRight w:val="0"/>
      <w:marTop w:val="0"/>
      <w:marBottom w:val="0"/>
      <w:divBdr>
        <w:top w:val="none" w:sz="0" w:space="0" w:color="auto"/>
        <w:left w:val="none" w:sz="0" w:space="0" w:color="auto"/>
        <w:bottom w:val="none" w:sz="0" w:space="0" w:color="auto"/>
        <w:right w:val="none" w:sz="0" w:space="0" w:color="auto"/>
      </w:divBdr>
    </w:div>
    <w:div w:id="161092618">
      <w:bodyDiv w:val="1"/>
      <w:marLeft w:val="0"/>
      <w:marRight w:val="0"/>
      <w:marTop w:val="0"/>
      <w:marBottom w:val="0"/>
      <w:divBdr>
        <w:top w:val="none" w:sz="0" w:space="0" w:color="auto"/>
        <w:left w:val="none" w:sz="0" w:space="0" w:color="auto"/>
        <w:bottom w:val="none" w:sz="0" w:space="0" w:color="auto"/>
        <w:right w:val="none" w:sz="0" w:space="0" w:color="auto"/>
      </w:divBdr>
    </w:div>
    <w:div w:id="185682430">
      <w:bodyDiv w:val="1"/>
      <w:marLeft w:val="0"/>
      <w:marRight w:val="0"/>
      <w:marTop w:val="0"/>
      <w:marBottom w:val="0"/>
      <w:divBdr>
        <w:top w:val="none" w:sz="0" w:space="0" w:color="auto"/>
        <w:left w:val="none" w:sz="0" w:space="0" w:color="auto"/>
        <w:bottom w:val="none" w:sz="0" w:space="0" w:color="auto"/>
        <w:right w:val="none" w:sz="0" w:space="0" w:color="auto"/>
      </w:divBdr>
    </w:div>
    <w:div w:id="205727761">
      <w:bodyDiv w:val="1"/>
      <w:marLeft w:val="0"/>
      <w:marRight w:val="0"/>
      <w:marTop w:val="0"/>
      <w:marBottom w:val="0"/>
      <w:divBdr>
        <w:top w:val="none" w:sz="0" w:space="0" w:color="auto"/>
        <w:left w:val="none" w:sz="0" w:space="0" w:color="auto"/>
        <w:bottom w:val="none" w:sz="0" w:space="0" w:color="auto"/>
        <w:right w:val="none" w:sz="0" w:space="0" w:color="auto"/>
      </w:divBdr>
    </w:div>
    <w:div w:id="395251305">
      <w:bodyDiv w:val="1"/>
      <w:marLeft w:val="0"/>
      <w:marRight w:val="0"/>
      <w:marTop w:val="0"/>
      <w:marBottom w:val="0"/>
      <w:divBdr>
        <w:top w:val="none" w:sz="0" w:space="0" w:color="auto"/>
        <w:left w:val="none" w:sz="0" w:space="0" w:color="auto"/>
        <w:bottom w:val="none" w:sz="0" w:space="0" w:color="auto"/>
        <w:right w:val="none" w:sz="0" w:space="0" w:color="auto"/>
      </w:divBdr>
    </w:div>
    <w:div w:id="397485357">
      <w:bodyDiv w:val="1"/>
      <w:marLeft w:val="0"/>
      <w:marRight w:val="0"/>
      <w:marTop w:val="0"/>
      <w:marBottom w:val="0"/>
      <w:divBdr>
        <w:top w:val="none" w:sz="0" w:space="0" w:color="auto"/>
        <w:left w:val="none" w:sz="0" w:space="0" w:color="auto"/>
        <w:bottom w:val="none" w:sz="0" w:space="0" w:color="auto"/>
        <w:right w:val="none" w:sz="0" w:space="0" w:color="auto"/>
      </w:divBdr>
    </w:div>
    <w:div w:id="401871345">
      <w:bodyDiv w:val="1"/>
      <w:marLeft w:val="0"/>
      <w:marRight w:val="0"/>
      <w:marTop w:val="0"/>
      <w:marBottom w:val="0"/>
      <w:divBdr>
        <w:top w:val="none" w:sz="0" w:space="0" w:color="auto"/>
        <w:left w:val="none" w:sz="0" w:space="0" w:color="auto"/>
        <w:bottom w:val="none" w:sz="0" w:space="0" w:color="auto"/>
        <w:right w:val="none" w:sz="0" w:space="0" w:color="auto"/>
      </w:divBdr>
    </w:div>
    <w:div w:id="449977653">
      <w:bodyDiv w:val="1"/>
      <w:marLeft w:val="0"/>
      <w:marRight w:val="0"/>
      <w:marTop w:val="0"/>
      <w:marBottom w:val="0"/>
      <w:divBdr>
        <w:top w:val="none" w:sz="0" w:space="0" w:color="auto"/>
        <w:left w:val="none" w:sz="0" w:space="0" w:color="auto"/>
        <w:bottom w:val="none" w:sz="0" w:space="0" w:color="auto"/>
        <w:right w:val="none" w:sz="0" w:space="0" w:color="auto"/>
      </w:divBdr>
    </w:div>
    <w:div w:id="482282428">
      <w:bodyDiv w:val="1"/>
      <w:marLeft w:val="0"/>
      <w:marRight w:val="0"/>
      <w:marTop w:val="0"/>
      <w:marBottom w:val="0"/>
      <w:divBdr>
        <w:top w:val="none" w:sz="0" w:space="0" w:color="auto"/>
        <w:left w:val="none" w:sz="0" w:space="0" w:color="auto"/>
        <w:bottom w:val="none" w:sz="0" w:space="0" w:color="auto"/>
        <w:right w:val="none" w:sz="0" w:space="0" w:color="auto"/>
      </w:divBdr>
    </w:div>
    <w:div w:id="484054274">
      <w:bodyDiv w:val="1"/>
      <w:marLeft w:val="0"/>
      <w:marRight w:val="0"/>
      <w:marTop w:val="0"/>
      <w:marBottom w:val="0"/>
      <w:divBdr>
        <w:top w:val="none" w:sz="0" w:space="0" w:color="auto"/>
        <w:left w:val="none" w:sz="0" w:space="0" w:color="auto"/>
        <w:bottom w:val="none" w:sz="0" w:space="0" w:color="auto"/>
        <w:right w:val="none" w:sz="0" w:space="0" w:color="auto"/>
      </w:divBdr>
    </w:div>
    <w:div w:id="484736482">
      <w:bodyDiv w:val="1"/>
      <w:marLeft w:val="0"/>
      <w:marRight w:val="0"/>
      <w:marTop w:val="0"/>
      <w:marBottom w:val="0"/>
      <w:divBdr>
        <w:top w:val="none" w:sz="0" w:space="0" w:color="auto"/>
        <w:left w:val="none" w:sz="0" w:space="0" w:color="auto"/>
        <w:bottom w:val="none" w:sz="0" w:space="0" w:color="auto"/>
        <w:right w:val="none" w:sz="0" w:space="0" w:color="auto"/>
      </w:divBdr>
    </w:div>
    <w:div w:id="489903577">
      <w:bodyDiv w:val="1"/>
      <w:marLeft w:val="0"/>
      <w:marRight w:val="0"/>
      <w:marTop w:val="0"/>
      <w:marBottom w:val="0"/>
      <w:divBdr>
        <w:top w:val="none" w:sz="0" w:space="0" w:color="auto"/>
        <w:left w:val="none" w:sz="0" w:space="0" w:color="auto"/>
        <w:bottom w:val="none" w:sz="0" w:space="0" w:color="auto"/>
        <w:right w:val="none" w:sz="0" w:space="0" w:color="auto"/>
      </w:divBdr>
    </w:div>
    <w:div w:id="654912892">
      <w:bodyDiv w:val="1"/>
      <w:marLeft w:val="0"/>
      <w:marRight w:val="0"/>
      <w:marTop w:val="0"/>
      <w:marBottom w:val="0"/>
      <w:divBdr>
        <w:top w:val="none" w:sz="0" w:space="0" w:color="auto"/>
        <w:left w:val="none" w:sz="0" w:space="0" w:color="auto"/>
        <w:bottom w:val="none" w:sz="0" w:space="0" w:color="auto"/>
        <w:right w:val="none" w:sz="0" w:space="0" w:color="auto"/>
      </w:divBdr>
    </w:div>
    <w:div w:id="684281848">
      <w:bodyDiv w:val="1"/>
      <w:marLeft w:val="0"/>
      <w:marRight w:val="0"/>
      <w:marTop w:val="0"/>
      <w:marBottom w:val="0"/>
      <w:divBdr>
        <w:top w:val="none" w:sz="0" w:space="0" w:color="auto"/>
        <w:left w:val="none" w:sz="0" w:space="0" w:color="auto"/>
        <w:bottom w:val="none" w:sz="0" w:space="0" w:color="auto"/>
        <w:right w:val="none" w:sz="0" w:space="0" w:color="auto"/>
      </w:divBdr>
    </w:div>
    <w:div w:id="732894907">
      <w:bodyDiv w:val="1"/>
      <w:marLeft w:val="0"/>
      <w:marRight w:val="0"/>
      <w:marTop w:val="0"/>
      <w:marBottom w:val="0"/>
      <w:divBdr>
        <w:top w:val="none" w:sz="0" w:space="0" w:color="auto"/>
        <w:left w:val="none" w:sz="0" w:space="0" w:color="auto"/>
        <w:bottom w:val="none" w:sz="0" w:space="0" w:color="auto"/>
        <w:right w:val="none" w:sz="0" w:space="0" w:color="auto"/>
      </w:divBdr>
    </w:div>
    <w:div w:id="752167538">
      <w:bodyDiv w:val="1"/>
      <w:marLeft w:val="0"/>
      <w:marRight w:val="0"/>
      <w:marTop w:val="0"/>
      <w:marBottom w:val="0"/>
      <w:divBdr>
        <w:top w:val="none" w:sz="0" w:space="0" w:color="auto"/>
        <w:left w:val="none" w:sz="0" w:space="0" w:color="auto"/>
        <w:bottom w:val="none" w:sz="0" w:space="0" w:color="auto"/>
        <w:right w:val="none" w:sz="0" w:space="0" w:color="auto"/>
      </w:divBdr>
    </w:div>
    <w:div w:id="769815506">
      <w:bodyDiv w:val="1"/>
      <w:marLeft w:val="0"/>
      <w:marRight w:val="0"/>
      <w:marTop w:val="0"/>
      <w:marBottom w:val="0"/>
      <w:divBdr>
        <w:top w:val="none" w:sz="0" w:space="0" w:color="auto"/>
        <w:left w:val="none" w:sz="0" w:space="0" w:color="auto"/>
        <w:bottom w:val="none" w:sz="0" w:space="0" w:color="auto"/>
        <w:right w:val="none" w:sz="0" w:space="0" w:color="auto"/>
      </w:divBdr>
    </w:div>
    <w:div w:id="769853276">
      <w:bodyDiv w:val="1"/>
      <w:marLeft w:val="0"/>
      <w:marRight w:val="0"/>
      <w:marTop w:val="0"/>
      <w:marBottom w:val="0"/>
      <w:divBdr>
        <w:top w:val="none" w:sz="0" w:space="0" w:color="auto"/>
        <w:left w:val="none" w:sz="0" w:space="0" w:color="auto"/>
        <w:bottom w:val="none" w:sz="0" w:space="0" w:color="auto"/>
        <w:right w:val="none" w:sz="0" w:space="0" w:color="auto"/>
      </w:divBdr>
    </w:div>
    <w:div w:id="781656986">
      <w:bodyDiv w:val="1"/>
      <w:marLeft w:val="0"/>
      <w:marRight w:val="0"/>
      <w:marTop w:val="0"/>
      <w:marBottom w:val="0"/>
      <w:divBdr>
        <w:top w:val="none" w:sz="0" w:space="0" w:color="auto"/>
        <w:left w:val="none" w:sz="0" w:space="0" w:color="auto"/>
        <w:bottom w:val="none" w:sz="0" w:space="0" w:color="auto"/>
        <w:right w:val="none" w:sz="0" w:space="0" w:color="auto"/>
      </w:divBdr>
    </w:div>
    <w:div w:id="855196102">
      <w:bodyDiv w:val="1"/>
      <w:marLeft w:val="0"/>
      <w:marRight w:val="0"/>
      <w:marTop w:val="0"/>
      <w:marBottom w:val="0"/>
      <w:divBdr>
        <w:top w:val="none" w:sz="0" w:space="0" w:color="auto"/>
        <w:left w:val="none" w:sz="0" w:space="0" w:color="auto"/>
        <w:bottom w:val="none" w:sz="0" w:space="0" w:color="auto"/>
        <w:right w:val="none" w:sz="0" w:space="0" w:color="auto"/>
      </w:divBdr>
    </w:div>
    <w:div w:id="904872281">
      <w:bodyDiv w:val="1"/>
      <w:marLeft w:val="0"/>
      <w:marRight w:val="0"/>
      <w:marTop w:val="0"/>
      <w:marBottom w:val="0"/>
      <w:divBdr>
        <w:top w:val="none" w:sz="0" w:space="0" w:color="auto"/>
        <w:left w:val="none" w:sz="0" w:space="0" w:color="auto"/>
        <w:bottom w:val="none" w:sz="0" w:space="0" w:color="auto"/>
        <w:right w:val="none" w:sz="0" w:space="0" w:color="auto"/>
      </w:divBdr>
    </w:div>
    <w:div w:id="913514436">
      <w:bodyDiv w:val="1"/>
      <w:marLeft w:val="0"/>
      <w:marRight w:val="0"/>
      <w:marTop w:val="0"/>
      <w:marBottom w:val="0"/>
      <w:divBdr>
        <w:top w:val="none" w:sz="0" w:space="0" w:color="auto"/>
        <w:left w:val="none" w:sz="0" w:space="0" w:color="auto"/>
        <w:bottom w:val="none" w:sz="0" w:space="0" w:color="auto"/>
        <w:right w:val="none" w:sz="0" w:space="0" w:color="auto"/>
      </w:divBdr>
    </w:div>
    <w:div w:id="1070620903">
      <w:bodyDiv w:val="1"/>
      <w:marLeft w:val="0"/>
      <w:marRight w:val="0"/>
      <w:marTop w:val="0"/>
      <w:marBottom w:val="0"/>
      <w:divBdr>
        <w:top w:val="none" w:sz="0" w:space="0" w:color="auto"/>
        <w:left w:val="none" w:sz="0" w:space="0" w:color="auto"/>
        <w:bottom w:val="none" w:sz="0" w:space="0" w:color="auto"/>
        <w:right w:val="none" w:sz="0" w:space="0" w:color="auto"/>
      </w:divBdr>
    </w:div>
    <w:div w:id="1121457243">
      <w:bodyDiv w:val="1"/>
      <w:marLeft w:val="0"/>
      <w:marRight w:val="0"/>
      <w:marTop w:val="0"/>
      <w:marBottom w:val="0"/>
      <w:divBdr>
        <w:top w:val="none" w:sz="0" w:space="0" w:color="auto"/>
        <w:left w:val="none" w:sz="0" w:space="0" w:color="auto"/>
        <w:bottom w:val="none" w:sz="0" w:space="0" w:color="auto"/>
        <w:right w:val="none" w:sz="0" w:space="0" w:color="auto"/>
      </w:divBdr>
    </w:div>
    <w:div w:id="1141658671">
      <w:bodyDiv w:val="1"/>
      <w:marLeft w:val="0"/>
      <w:marRight w:val="0"/>
      <w:marTop w:val="0"/>
      <w:marBottom w:val="0"/>
      <w:divBdr>
        <w:top w:val="none" w:sz="0" w:space="0" w:color="auto"/>
        <w:left w:val="none" w:sz="0" w:space="0" w:color="auto"/>
        <w:bottom w:val="none" w:sz="0" w:space="0" w:color="auto"/>
        <w:right w:val="none" w:sz="0" w:space="0" w:color="auto"/>
      </w:divBdr>
    </w:div>
    <w:div w:id="1155872518">
      <w:bodyDiv w:val="1"/>
      <w:marLeft w:val="0"/>
      <w:marRight w:val="0"/>
      <w:marTop w:val="0"/>
      <w:marBottom w:val="0"/>
      <w:divBdr>
        <w:top w:val="none" w:sz="0" w:space="0" w:color="auto"/>
        <w:left w:val="none" w:sz="0" w:space="0" w:color="auto"/>
        <w:bottom w:val="none" w:sz="0" w:space="0" w:color="auto"/>
        <w:right w:val="none" w:sz="0" w:space="0" w:color="auto"/>
      </w:divBdr>
    </w:div>
    <w:div w:id="1178889329">
      <w:bodyDiv w:val="1"/>
      <w:marLeft w:val="0"/>
      <w:marRight w:val="0"/>
      <w:marTop w:val="0"/>
      <w:marBottom w:val="0"/>
      <w:divBdr>
        <w:top w:val="none" w:sz="0" w:space="0" w:color="auto"/>
        <w:left w:val="none" w:sz="0" w:space="0" w:color="auto"/>
        <w:bottom w:val="none" w:sz="0" w:space="0" w:color="auto"/>
        <w:right w:val="none" w:sz="0" w:space="0" w:color="auto"/>
      </w:divBdr>
    </w:div>
    <w:div w:id="1239050103">
      <w:bodyDiv w:val="1"/>
      <w:marLeft w:val="0"/>
      <w:marRight w:val="0"/>
      <w:marTop w:val="0"/>
      <w:marBottom w:val="0"/>
      <w:divBdr>
        <w:top w:val="none" w:sz="0" w:space="0" w:color="auto"/>
        <w:left w:val="none" w:sz="0" w:space="0" w:color="auto"/>
        <w:bottom w:val="none" w:sz="0" w:space="0" w:color="auto"/>
        <w:right w:val="none" w:sz="0" w:space="0" w:color="auto"/>
      </w:divBdr>
    </w:div>
    <w:div w:id="1332637629">
      <w:bodyDiv w:val="1"/>
      <w:marLeft w:val="0"/>
      <w:marRight w:val="0"/>
      <w:marTop w:val="0"/>
      <w:marBottom w:val="0"/>
      <w:divBdr>
        <w:top w:val="none" w:sz="0" w:space="0" w:color="auto"/>
        <w:left w:val="none" w:sz="0" w:space="0" w:color="auto"/>
        <w:bottom w:val="none" w:sz="0" w:space="0" w:color="auto"/>
        <w:right w:val="none" w:sz="0" w:space="0" w:color="auto"/>
      </w:divBdr>
    </w:div>
    <w:div w:id="1372727055">
      <w:bodyDiv w:val="1"/>
      <w:marLeft w:val="0"/>
      <w:marRight w:val="0"/>
      <w:marTop w:val="0"/>
      <w:marBottom w:val="0"/>
      <w:divBdr>
        <w:top w:val="none" w:sz="0" w:space="0" w:color="auto"/>
        <w:left w:val="none" w:sz="0" w:space="0" w:color="auto"/>
        <w:bottom w:val="none" w:sz="0" w:space="0" w:color="auto"/>
        <w:right w:val="none" w:sz="0" w:space="0" w:color="auto"/>
      </w:divBdr>
    </w:div>
    <w:div w:id="1408259520">
      <w:bodyDiv w:val="1"/>
      <w:marLeft w:val="0"/>
      <w:marRight w:val="0"/>
      <w:marTop w:val="0"/>
      <w:marBottom w:val="0"/>
      <w:divBdr>
        <w:top w:val="none" w:sz="0" w:space="0" w:color="auto"/>
        <w:left w:val="none" w:sz="0" w:space="0" w:color="auto"/>
        <w:bottom w:val="none" w:sz="0" w:space="0" w:color="auto"/>
        <w:right w:val="none" w:sz="0" w:space="0" w:color="auto"/>
      </w:divBdr>
    </w:div>
    <w:div w:id="1497577657">
      <w:bodyDiv w:val="1"/>
      <w:marLeft w:val="0"/>
      <w:marRight w:val="0"/>
      <w:marTop w:val="0"/>
      <w:marBottom w:val="0"/>
      <w:divBdr>
        <w:top w:val="none" w:sz="0" w:space="0" w:color="auto"/>
        <w:left w:val="none" w:sz="0" w:space="0" w:color="auto"/>
        <w:bottom w:val="none" w:sz="0" w:space="0" w:color="auto"/>
        <w:right w:val="none" w:sz="0" w:space="0" w:color="auto"/>
      </w:divBdr>
    </w:div>
    <w:div w:id="1631353469">
      <w:bodyDiv w:val="1"/>
      <w:marLeft w:val="0"/>
      <w:marRight w:val="0"/>
      <w:marTop w:val="0"/>
      <w:marBottom w:val="0"/>
      <w:divBdr>
        <w:top w:val="none" w:sz="0" w:space="0" w:color="auto"/>
        <w:left w:val="none" w:sz="0" w:space="0" w:color="auto"/>
        <w:bottom w:val="none" w:sz="0" w:space="0" w:color="auto"/>
        <w:right w:val="none" w:sz="0" w:space="0" w:color="auto"/>
      </w:divBdr>
    </w:div>
    <w:div w:id="1683817411">
      <w:bodyDiv w:val="1"/>
      <w:marLeft w:val="0"/>
      <w:marRight w:val="0"/>
      <w:marTop w:val="0"/>
      <w:marBottom w:val="0"/>
      <w:divBdr>
        <w:top w:val="none" w:sz="0" w:space="0" w:color="auto"/>
        <w:left w:val="none" w:sz="0" w:space="0" w:color="auto"/>
        <w:bottom w:val="none" w:sz="0" w:space="0" w:color="auto"/>
        <w:right w:val="none" w:sz="0" w:space="0" w:color="auto"/>
      </w:divBdr>
    </w:div>
    <w:div w:id="1715543509">
      <w:bodyDiv w:val="1"/>
      <w:marLeft w:val="0"/>
      <w:marRight w:val="0"/>
      <w:marTop w:val="0"/>
      <w:marBottom w:val="0"/>
      <w:divBdr>
        <w:top w:val="none" w:sz="0" w:space="0" w:color="auto"/>
        <w:left w:val="none" w:sz="0" w:space="0" w:color="auto"/>
        <w:bottom w:val="none" w:sz="0" w:space="0" w:color="auto"/>
        <w:right w:val="none" w:sz="0" w:space="0" w:color="auto"/>
      </w:divBdr>
    </w:div>
    <w:div w:id="1822114416">
      <w:bodyDiv w:val="1"/>
      <w:marLeft w:val="0"/>
      <w:marRight w:val="0"/>
      <w:marTop w:val="0"/>
      <w:marBottom w:val="0"/>
      <w:divBdr>
        <w:top w:val="none" w:sz="0" w:space="0" w:color="auto"/>
        <w:left w:val="none" w:sz="0" w:space="0" w:color="auto"/>
        <w:bottom w:val="none" w:sz="0" w:space="0" w:color="auto"/>
        <w:right w:val="none" w:sz="0" w:space="0" w:color="auto"/>
      </w:divBdr>
    </w:div>
    <w:div w:id="1877505658">
      <w:bodyDiv w:val="1"/>
      <w:marLeft w:val="0"/>
      <w:marRight w:val="0"/>
      <w:marTop w:val="0"/>
      <w:marBottom w:val="0"/>
      <w:divBdr>
        <w:top w:val="single" w:sz="36" w:space="0" w:color="000000"/>
        <w:left w:val="none" w:sz="0" w:space="0" w:color="auto"/>
        <w:bottom w:val="none" w:sz="0" w:space="0" w:color="auto"/>
        <w:right w:val="none" w:sz="0" w:space="0" w:color="auto"/>
      </w:divBdr>
      <w:divsChild>
        <w:div w:id="1210459235">
          <w:marLeft w:val="4"/>
          <w:marRight w:val="4"/>
          <w:marTop w:val="0"/>
          <w:marBottom w:val="0"/>
          <w:divBdr>
            <w:top w:val="none" w:sz="0" w:space="0" w:color="auto"/>
            <w:left w:val="none" w:sz="0" w:space="0" w:color="auto"/>
            <w:bottom w:val="none" w:sz="0" w:space="0" w:color="auto"/>
            <w:right w:val="none" w:sz="0" w:space="0" w:color="auto"/>
          </w:divBdr>
          <w:divsChild>
            <w:div w:id="2058821095">
              <w:marLeft w:val="1"/>
              <w:marRight w:val="1"/>
              <w:marTop w:val="0"/>
              <w:marBottom w:val="0"/>
              <w:divBdr>
                <w:top w:val="none" w:sz="0" w:space="0" w:color="auto"/>
                <w:left w:val="none" w:sz="0" w:space="0" w:color="auto"/>
                <w:bottom w:val="none" w:sz="0" w:space="0" w:color="auto"/>
                <w:right w:val="none" w:sz="0" w:space="0" w:color="auto"/>
              </w:divBdr>
              <w:divsChild>
                <w:div w:id="1453405668">
                  <w:marLeft w:val="0"/>
                  <w:marRight w:val="0"/>
                  <w:marTop w:val="0"/>
                  <w:marBottom w:val="0"/>
                  <w:divBdr>
                    <w:top w:val="none" w:sz="0" w:space="0" w:color="auto"/>
                    <w:left w:val="none" w:sz="0" w:space="0" w:color="auto"/>
                    <w:bottom w:val="none" w:sz="0" w:space="0" w:color="auto"/>
                    <w:right w:val="none" w:sz="0" w:space="0" w:color="auto"/>
                  </w:divBdr>
                  <w:divsChild>
                    <w:div w:id="111293793">
                      <w:marLeft w:val="0"/>
                      <w:marRight w:val="0"/>
                      <w:marTop w:val="0"/>
                      <w:marBottom w:val="0"/>
                      <w:divBdr>
                        <w:top w:val="none" w:sz="0" w:space="0" w:color="auto"/>
                        <w:left w:val="none" w:sz="0" w:space="0" w:color="auto"/>
                        <w:bottom w:val="none" w:sz="0" w:space="0" w:color="auto"/>
                        <w:right w:val="none" w:sz="0" w:space="0" w:color="auto"/>
                      </w:divBdr>
                    </w:div>
                    <w:div w:id="483398345">
                      <w:marLeft w:val="0"/>
                      <w:marRight w:val="0"/>
                      <w:marTop w:val="0"/>
                      <w:marBottom w:val="0"/>
                      <w:divBdr>
                        <w:top w:val="none" w:sz="0" w:space="0" w:color="auto"/>
                        <w:left w:val="none" w:sz="0" w:space="0" w:color="auto"/>
                        <w:bottom w:val="none" w:sz="0" w:space="0" w:color="auto"/>
                        <w:right w:val="none" w:sz="0" w:space="0" w:color="auto"/>
                      </w:divBdr>
                    </w:div>
                    <w:div w:id="1049115054">
                      <w:marLeft w:val="0"/>
                      <w:marRight w:val="0"/>
                      <w:marTop w:val="0"/>
                      <w:marBottom w:val="0"/>
                      <w:divBdr>
                        <w:top w:val="none" w:sz="0" w:space="0" w:color="auto"/>
                        <w:left w:val="none" w:sz="0" w:space="0" w:color="auto"/>
                        <w:bottom w:val="none" w:sz="0" w:space="0" w:color="auto"/>
                        <w:right w:val="none" w:sz="0" w:space="0" w:color="auto"/>
                      </w:divBdr>
                    </w:div>
                    <w:div w:id="1122502093">
                      <w:marLeft w:val="0"/>
                      <w:marRight w:val="0"/>
                      <w:marTop w:val="0"/>
                      <w:marBottom w:val="0"/>
                      <w:divBdr>
                        <w:top w:val="none" w:sz="0" w:space="0" w:color="auto"/>
                        <w:left w:val="none" w:sz="0" w:space="0" w:color="auto"/>
                        <w:bottom w:val="none" w:sz="0" w:space="0" w:color="auto"/>
                        <w:right w:val="none" w:sz="0" w:space="0" w:color="auto"/>
                      </w:divBdr>
                    </w:div>
                    <w:div w:id="1401252821">
                      <w:marLeft w:val="0"/>
                      <w:marRight w:val="0"/>
                      <w:marTop w:val="0"/>
                      <w:marBottom w:val="0"/>
                      <w:divBdr>
                        <w:top w:val="none" w:sz="0" w:space="0" w:color="auto"/>
                        <w:left w:val="none" w:sz="0" w:space="0" w:color="auto"/>
                        <w:bottom w:val="none" w:sz="0" w:space="0" w:color="auto"/>
                        <w:right w:val="none" w:sz="0" w:space="0" w:color="auto"/>
                      </w:divBdr>
                    </w:div>
                    <w:div w:id="1592854523">
                      <w:marLeft w:val="0"/>
                      <w:marRight w:val="0"/>
                      <w:marTop w:val="0"/>
                      <w:marBottom w:val="0"/>
                      <w:divBdr>
                        <w:top w:val="none" w:sz="0" w:space="0" w:color="auto"/>
                        <w:left w:val="none" w:sz="0" w:space="0" w:color="auto"/>
                        <w:bottom w:val="none" w:sz="0" w:space="0" w:color="auto"/>
                        <w:right w:val="none" w:sz="0" w:space="0" w:color="auto"/>
                      </w:divBdr>
                    </w:div>
                    <w:div w:id="199035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739033">
      <w:bodyDiv w:val="1"/>
      <w:marLeft w:val="0"/>
      <w:marRight w:val="0"/>
      <w:marTop w:val="0"/>
      <w:marBottom w:val="0"/>
      <w:divBdr>
        <w:top w:val="none" w:sz="0" w:space="0" w:color="auto"/>
        <w:left w:val="none" w:sz="0" w:space="0" w:color="auto"/>
        <w:bottom w:val="none" w:sz="0" w:space="0" w:color="auto"/>
        <w:right w:val="none" w:sz="0" w:space="0" w:color="auto"/>
      </w:divBdr>
    </w:div>
    <w:div w:id="2087415175">
      <w:bodyDiv w:val="1"/>
      <w:marLeft w:val="0"/>
      <w:marRight w:val="0"/>
      <w:marTop w:val="0"/>
      <w:marBottom w:val="0"/>
      <w:divBdr>
        <w:top w:val="none" w:sz="0" w:space="0" w:color="auto"/>
        <w:left w:val="none" w:sz="0" w:space="0" w:color="auto"/>
        <w:bottom w:val="none" w:sz="0" w:space="0" w:color="auto"/>
        <w:right w:val="none" w:sz="0" w:space="0" w:color="auto"/>
      </w:divBdr>
    </w:div>
    <w:div w:id="212330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9.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8.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7.png"/><Relationship Id="rId5" Type="http://schemas.openxmlformats.org/officeDocument/2006/relationships/settings" Target="settings.xml"/><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5.png"/><Relationship Id="rId14" Type="http://schemas.openxmlformats.org/officeDocument/2006/relationships/image" Target="media/image10.png"/></Relationships>
</file>

<file path=word/_rels/header1.xml.rels><?xml version="1.0" encoding="UTF-8" standalone="yes"?>
<Relationships xmlns="http://schemas.openxmlformats.org/package/2006/relationships"><Relationship Id="rId1" Type="http://schemas.openxmlformats.org/officeDocument/2006/relationships/image" Target="media/image13.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7D3E56-98F8-4A8C-9A7F-9949D710E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640</Words>
  <Characters>3584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North of Tyne</vt:lpstr>
    </vt:vector>
  </TitlesOfParts>
  <Company>Northumbria Healthcare NHS Trust</Company>
  <LinksUpToDate>false</LinksUpToDate>
  <CharactersWithSpaces>4216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of Tyne</dc:title>
  <dc:creator>Trust User</dc:creator>
  <cp:lastModifiedBy>Mankin, Peter Gavin</cp:lastModifiedBy>
  <cp:revision>4</cp:revision>
  <cp:lastPrinted>2017-07-17T11:35:00Z</cp:lastPrinted>
  <dcterms:created xsi:type="dcterms:W3CDTF">2017-07-19T12:50:00Z</dcterms:created>
  <dcterms:modified xsi:type="dcterms:W3CDTF">2017-07-19T12:54:00Z</dcterms:modified>
</cp:coreProperties>
</file>