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8C" w:rsidRDefault="001C2469" w:rsidP="008E30B6">
      <w:bookmarkStart w:id="0" w:name="_GoBack"/>
      <w:bookmarkEnd w:id="0"/>
      <w:r>
        <w:rPr>
          <w:noProof/>
          <w:lang w:eastAsia="en-GB"/>
        </w:rPr>
        <w:drawing>
          <wp:anchor distT="0" distB="0" distL="114300" distR="114300" simplePos="0" relativeHeight="251657216" behindDoc="0" locked="0" layoutInCell="1" allowOverlap="1">
            <wp:simplePos x="0" y="0"/>
            <wp:positionH relativeFrom="page">
              <wp:posOffset>699770</wp:posOffset>
            </wp:positionH>
            <wp:positionV relativeFrom="page">
              <wp:posOffset>522605</wp:posOffset>
            </wp:positionV>
            <wp:extent cx="6184900" cy="1311275"/>
            <wp:effectExtent l="0" t="0" r="6350" b="3175"/>
            <wp:wrapTight wrapText="bothSides">
              <wp:wrapPolygon edited="0">
                <wp:start x="1264" y="0"/>
                <wp:lineTo x="865" y="314"/>
                <wp:lineTo x="67" y="3766"/>
                <wp:lineTo x="133" y="13807"/>
                <wp:lineTo x="3060" y="15062"/>
                <wp:lineTo x="10778" y="15062"/>
                <wp:lineTo x="67" y="18200"/>
                <wp:lineTo x="67" y="20711"/>
                <wp:lineTo x="3060" y="21338"/>
                <wp:lineTo x="4857" y="21338"/>
                <wp:lineTo x="7651" y="20711"/>
                <wp:lineTo x="7584" y="20083"/>
                <wp:lineTo x="10778" y="15062"/>
                <wp:lineTo x="20292" y="15062"/>
                <wp:lineTo x="21556" y="14435"/>
                <wp:lineTo x="21556" y="8473"/>
                <wp:lineTo x="3260" y="5021"/>
                <wp:lineTo x="21556" y="5021"/>
                <wp:lineTo x="21556" y="0"/>
                <wp:lineTo x="1264"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490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AA0" w:rsidRPr="00A97AA0" w:rsidRDefault="00A97AA0" w:rsidP="00A97AA0">
      <w:pPr>
        <w:pStyle w:val="BodyText"/>
      </w:pPr>
    </w:p>
    <w:p w:rsidR="00CA1F82" w:rsidRDefault="00CA1F82" w:rsidP="008E30B6">
      <w:r>
        <w:t>On behalf of:</w:t>
      </w:r>
    </w:p>
    <w:p w:rsidR="001119EE" w:rsidRDefault="001C2469" w:rsidP="008E30B6">
      <w:r>
        <w:t>Clinical Commissioning Group</w:t>
      </w:r>
    </w:p>
    <w:p w:rsidR="001119EE" w:rsidRDefault="001119EE" w:rsidP="008E30B6"/>
    <w:p w:rsidR="001119EE" w:rsidRDefault="001119EE" w:rsidP="008E30B6"/>
    <w:p w:rsidR="001119EE" w:rsidRPr="00A97AA0" w:rsidRDefault="001119EE" w:rsidP="008E30B6"/>
    <w:p w:rsidR="004B758C" w:rsidRPr="00A97AA0" w:rsidRDefault="004B758C" w:rsidP="008E30B6"/>
    <w:p w:rsidR="004B758C" w:rsidRPr="00A97AA0" w:rsidRDefault="004B758C" w:rsidP="008E30B6"/>
    <w:p w:rsidR="00FE42F4" w:rsidRPr="00A97AA0" w:rsidRDefault="00FE42F4" w:rsidP="008E30B6"/>
    <w:p w:rsidR="007434C5" w:rsidRPr="00A97AA0" w:rsidRDefault="007434C5" w:rsidP="008E30B6"/>
    <w:p w:rsidR="00A97AA0" w:rsidRDefault="001C2469" w:rsidP="002B3E5D">
      <w:pPr>
        <w:pStyle w:val="Title"/>
      </w:pPr>
      <w:r>
        <w:rPr>
          <w:noProof/>
          <w:lang w:eastAsia="en-GB"/>
        </w:rPr>
        <w:drawing>
          <wp:anchor distT="0" distB="0" distL="114300" distR="114300" simplePos="0" relativeHeight="251658240" behindDoc="0" locked="0" layoutInCell="1" allowOverlap="1">
            <wp:simplePos x="0" y="0"/>
            <wp:positionH relativeFrom="page">
              <wp:posOffset>3962400</wp:posOffset>
            </wp:positionH>
            <wp:positionV relativeFrom="page">
              <wp:posOffset>7283450</wp:posOffset>
            </wp:positionV>
            <wp:extent cx="2836545" cy="2903220"/>
            <wp:effectExtent l="0" t="0" r="1905" b="0"/>
            <wp:wrapThrough wrapText="bothSides">
              <wp:wrapPolygon edited="0">
                <wp:start x="3046" y="0"/>
                <wp:lineTo x="1741" y="567"/>
                <wp:lineTo x="145" y="1843"/>
                <wp:lineTo x="0" y="2976"/>
                <wp:lineTo x="0" y="5669"/>
                <wp:lineTo x="435" y="9071"/>
                <wp:lineTo x="1306" y="11339"/>
                <wp:lineTo x="2611" y="13606"/>
                <wp:lineTo x="2176" y="15874"/>
                <wp:lineTo x="2611" y="18283"/>
                <wp:lineTo x="4352" y="20551"/>
                <wp:lineTo x="6238" y="21402"/>
                <wp:lineTo x="6528" y="21402"/>
                <wp:lineTo x="9429" y="21402"/>
                <wp:lineTo x="9719" y="21402"/>
                <wp:lineTo x="11605" y="20409"/>
                <wp:lineTo x="15232" y="20409"/>
                <wp:lineTo x="20309" y="19134"/>
                <wp:lineTo x="20309" y="18142"/>
                <wp:lineTo x="21469" y="15874"/>
                <wp:lineTo x="21469" y="12472"/>
                <wp:lineTo x="21324" y="11339"/>
                <wp:lineTo x="20744" y="9071"/>
                <wp:lineTo x="21469" y="6803"/>
                <wp:lineTo x="20889" y="4394"/>
                <wp:lineTo x="18278" y="2126"/>
                <wp:lineTo x="9139" y="425"/>
                <wp:lineTo x="5948" y="0"/>
                <wp:lineTo x="3046" y="0"/>
              </wp:wrapPolygon>
            </wp:wrapThrough>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6545" cy="290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E5D">
        <w:t>Toolkit to support CCGs considering rationalising prescribing of Blood Glucose Testing meters, Insulin pen needles and lancets</w:t>
      </w:r>
    </w:p>
    <w:p w:rsidR="008E30B6" w:rsidRPr="008E30B6" w:rsidRDefault="008E30B6" w:rsidP="008E30B6"/>
    <w:p w:rsidR="00A97AA0" w:rsidRPr="00A97AA0" w:rsidRDefault="00A97AA0" w:rsidP="008E30B6">
      <w:pPr>
        <w:pStyle w:val="Subtitle"/>
        <w:sectPr w:rsidR="00A97AA0" w:rsidRPr="00A97AA0" w:rsidSect="00A3777B">
          <w:headerReference w:type="default" r:id="rId14"/>
          <w:pgSz w:w="11900" w:h="16840" w:code="9"/>
          <w:pgMar w:top="1134" w:right="1134" w:bottom="1418" w:left="1134" w:header="340" w:footer="709" w:gutter="0"/>
          <w:cols w:space="708"/>
        </w:sectPr>
      </w:pPr>
    </w:p>
    <w:p w:rsidR="00697231" w:rsidRDefault="004F4C69" w:rsidP="00AF65D2">
      <w:pPr>
        <w:pStyle w:val="Heading1"/>
      </w:pPr>
      <w:r>
        <w:lastRenderedPageBreak/>
        <w:t>Background</w:t>
      </w:r>
    </w:p>
    <w:p w:rsidR="00F823C6" w:rsidRDefault="00F823C6" w:rsidP="00F823C6">
      <w:pPr>
        <w:pStyle w:val="NormalWeb"/>
        <w:rPr>
          <w:rFonts w:ascii="Arial" w:hAnsi="Arial" w:cs="Arial"/>
          <w:b/>
          <w:bCs/>
          <w:i/>
          <w:iCs/>
          <w:color w:val="000000"/>
          <w:sz w:val="27"/>
          <w:szCs w:val="27"/>
        </w:rPr>
      </w:pPr>
      <w:r>
        <w:rPr>
          <w:rFonts w:ascii="Arial" w:hAnsi="Arial" w:cs="Arial"/>
          <w:b/>
          <w:bCs/>
          <w:i/>
          <w:iCs/>
          <w:color w:val="000000"/>
          <w:sz w:val="27"/>
          <w:szCs w:val="27"/>
        </w:rPr>
        <w:t xml:space="preserve">Self-monitoring of blood glucose </w:t>
      </w:r>
    </w:p>
    <w:p w:rsidR="00F823C6" w:rsidRDefault="00F823C6" w:rsidP="00F823C6">
      <w:pPr>
        <w:pStyle w:val="NormalWeb"/>
        <w:rPr>
          <w:rFonts w:ascii="Arial" w:hAnsi="Arial" w:cs="Arial"/>
          <w:color w:val="000000"/>
        </w:rPr>
      </w:pPr>
      <w:r>
        <w:rPr>
          <w:rFonts w:ascii="Arial" w:hAnsi="Arial" w:cs="Arial"/>
          <w:color w:val="000000"/>
        </w:rPr>
        <w:t xml:space="preserve">The NICE guideline on type 2 diabetes (which is being updated; publication expected August 2015) gives recommendations on the place of self-monitoring of blood glucose in people with type </w:t>
      </w:r>
      <w:proofErr w:type="gramStart"/>
      <w:r>
        <w:rPr>
          <w:rFonts w:ascii="Arial" w:hAnsi="Arial" w:cs="Arial"/>
          <w:color w:val="000000"/>
        </w:rPr>
        <w:t>2 diabetes</w:t>
      </w:r>
      <w:proofErr w:type="gramEnd"/>
      <w:r>
        <w:rPr>
          <w:rFonts w:ascii="Arial" w:hAnsi="Arial" w:cs="Arial"/>
          <w:color w:val="000000"/>
        </w:rPr>
        <w:t xml:space="preserve">. The guideline recommends that it should be used only if it is going to be an integral part of the person’s self-management education, and the continued benefit of self-monitoring should be assessed in a structured way each year. NICE recommends that self-monitoring of blood glucose is appropriate in some people with type 2 diabetes, and should be available: </w:t>
      </w:r>
    </w:p>
    <w:p w:rsidR="00F823C6" w:rsidRDefault="00F823C6" w:rsidP="00F823C6">
      <w:pPr>
        <w:pStyle w:val="NormalWeb"/>
        <w:rPr>
          <w:rFonts w:ascii="Arial" w:hAnsi="Arial" w:cs="Arial"/>
          <w:color w:val="000000"/>
        </w:rPr>
      </w:pPr>
      <w:r>
        <w:rPr>
          <w:rFonts w:ascii="Arial" w:hAnsi="Arial" w:cs="Arial"/>
          <w:color w:val="000000"/>
        </w:rPr>
        <w:sym w:font="Symbol" w:char="F0B7"/>
      </w:r>
      <w:r>
        <w:rPr>
          <w:rFonts w:ascii="Arial" w:hAnsi="Arial" w:cs="Arial"/>
          <w:color w:val="000000"/>
        </w:rPr>
        <w:t xml:space="preserve"> </w:t>
      </w:r>
      <w:proofErr w:type="gramStart"/>
      <w:r>
        <w:rPr>
          <w:rFonts w:ascii="Arial" w:hAnsi="Arial" w:cs="Arial"/>
          <w:color w:val="000000"/>
        </w:rPr>
        <w:t>to</w:t>
      </w:r>
      <w:proofErr w:type="gramEnd"/>
      <w:r>
        <w:rPr>
          <w:rFonts w:ascii="Arial" w:hAnsi="Arial" w:cs="Arial"/>
          <w:color w:val="000000"/>
        </w:rPr>
        <w:t xml:space="preserve"> people on insulin treatment </w:t>
      </w:r>
    </w:p>
    <w:p w:rsidR="00F823C6" w:rsidRDefault="00F823C6" w:rsidP="00F823C6">
      <w:pPr>
        <w:pStyle w:val="NormalWeb"/>
        <w:rPr>
          <w:rFonts w:ascii="Arial" w:hAnsi="Arial" w:cs="Arial"/>
          <w:color w:val="000000"/>
        </w:rPr>
      </w:pPr>
      <w:r>
        <w:rPr>
          <w:rFonts w:ascii="Arial" w:hAnsi="Arial" w:cs="Arial"/>
          <w:color w:val="000000"/>
        </w:rPr>
        <w:sym w:font="Symbol" w:char="F0B7"/>
      </w:r>
      <w:r>
        <w:rPr>
          <w:rFonts w:ascii="Arial" w:hAnsi="Arial" w:cs="Arial"/>
          <w:color w:val="000000"/>
        </w:rPr>
        <w:t xml:space="preserve"> </w:t>
      </w:r>
      <w:proofErr w:type="gramStart"/>
      <w:r>
        <w:rPr>
          <w:rFonts w:ascii="Arial" w:hAnsi="Arial" w:cs="Arial"/>
          <w:color w:val="000000"/>
        </w:rPr>
        <w:t>to</w:t>
      </w:r>
      <w:proofErr w:type="gramEnd"/>
      <w:r>
        <w:rPr>
          <w:rFonts w:ascii="Arial" w:hAnsi="Arial" w:cs="Arial"/>
          <w:color w:val="000000"/>
        </w:rPr>
        <w:t xml:space="preserve"> people on oral glucose-lowering medications to provide information on hypoglycaemia </w:t>
      </w:r>
    </w:p>
    <w:p w:rsidR="00F823C6" w:rsidRDefault="00F823C6" w:rsidP="00F823C6">
      <w:pPr>
        <w:pStyle w:val="NormalWeb"/>
        <w:rPr>
          <w:rFonts w:ascii="Arial" w:hAnsi="Arial" w:cs="Arial"/>
          <w:color w:val="000000"/>
        </w:rPr>
      </w:pPr>
      <w:r>
        <w:rPr>
          <w:rFonts w:ascii="Arial" w:hAnsi="Arial" w:cs="Arial"/>
          <w:color w:val="000000"/>
        </w:rPr>
        <w:sym w:font="Symbol" w:char="F0B7"/>
      </w:r>
      <w:r>
        <w:rPr>
          <w:rFonts w:ascii="Arial" w:hAnsi="Arial" w:cs="Arial"/>
          <w:color w:val="000000"/>
        </w:rPr>
        <w:t xml:space="preserve"> </w:t>
      </w:r>
      <w:proofErr w:type="gramStart"/>
      <w:r>
        <w:rPr>
          <w:rFonts w:ascii="Arial" w:hAnsi="Arial" w:cs="Arial"/>
          <w:color w:val="000000"/>
        </w:rPr>
        <w:t>to</w:t>
      </w:r>
      <w:proofErr w:type="gramEnd"/>
      <w:r>
        <w:rPr>
          <w:rFonts w:ascii="Arial" w:hAnsi="Arial" w:cs="Arial"/>
          <w:color w:val="000000"/>
        </w:rPr>
        <w:t xml:space="preserve"> assess changes in glucose control resulting from medication and lifestyle changes </w:t>
      </w:r>
    </w:p>
    <w:p w:rsidR="00F823C6" w:rsidRDefault="00F823C6" w:rsidP="00F823C6">
      <w:pPr>
        <w:pStyle w:val="NormalWeb"/>
        <w:rPr>
          <w:rFonts w:ascii="Arial" w:hAnsi="Arial" w:cs="Arial"/>
          <w:color w:val="000000"/>
        </w:rPr>
      </w:pPr>
      <w:r>
        <w:rPr>
          <w:rFonts w:ascii="Arial" w:hAnsi="Arial" w:cs="Arial"/>
          <w:color w:val="000000"/>
        </w:rPr>
        <w:sym w:font="Symbol" w:char="F0B7"/>
      </w:r>
      <w:r>
        <w:rPr>
          <w:rFonts w:ascii="Arial" w:hAnsi="Arial" w:cs="Arial"/>
          <w:color w:val="000000"/>
        </w:rPr>
        <w:t xml:space="preserve"> </w:t>
      </w:r>
      <w:proofErr w:type="gramStart"/>
      <w:r>
        <w:rPr>
          <w:rFonts w:ascii="Arial" w:hAnsi="Arial" w:cs="Arial"/>
          <w:color w:val="000000"/>
        </w:rPr>
        <w:t>to</w:t>
      </w:r>
      <w:proofErr w:type="gramEnd"/>
      <w:r>
        <w:rPr>
          <w:rFonts w:ascii="Arial" w:hAnsi="Arial" w:cs="Arial"/>
          <w:color w:val="000000"/>
        </w:rPr>
        <w:t xml:space="preserve"> monitor changes during </w:t>
      </w:r>
      <w:proofErr w:type="spellStart"/>
      <w:r>
        <w:rPr>
          <w:rFonts w:ascii="Arial" w:hAnsi="Arial" w:cs="Arial"/>
          <w:color w:val="000000"/>
        </w:rPr>
        <w:t>intercurrent</w:t>
      </w:r>
      <w:proofErr w:type="spellEnd"/>
      <w:r>
        <w:rPr>
          <w:rFonts w:ascii="Arial" w:hAnsi="Arial" w:cs="Arial"/>
          <w:color w:val="000000"/>
        </w:rPr>
        <w:t xml:space="preserve"> illness </w:t>
      </w:r>
    </w:p>
    <w:p w:rsidR="00F823C6" w:rsidRDefault="00F823C6" w:rsidP="00F823C6">
      <w:pPr>
        <w:pStyle w:val="NormalWeb"/>
        <w:rPr>
          <w:rFonts w:ascii="Arial" w:hAnsi="Arial" w:cs="Arial"/>
          <w:color w:val="000000"/>
        </w:rPr>
      </w:pPr>
      <w:r>
        <w:rPr>
          <w:rFonts w:ascii="Arial" w:hAnsi="Arial" w:cs="Arial"/>
          <w:color w:val="000000"/>
        </w:rPr>
        <w:sym w:font="Symbol" w:char="F0B7"/>
      </w:r>
      <w:r>
        <w:rPr>
          <w:rFonts w:ascii="Arial" w:hAnsi="Arial" w:cs="Arial"/>
          <w:color w:val="000000"/>
        </w:rPr>
        <w:t xml:space="preserve"> </w:t>
      </w:r>
      <w:proofErr w:type="gramStart"/>
      <w:r>
        <w:rPr>
          <w:rFonts w:ascii="Arial" w:hAnsi="Arial" w:cs="Arial"/>
          <w:color w:val="000000"/>
        </w:rPr>
        <w:t>to</w:t>
      </w:r>
      <w:proofErr w:type="gramEnd"/>
      <w:r>
        <w:rPr>
          <w:rFonts w:ascii="Arial" w:hAnsi="Arial" w:cs="Arial"/>
          <w:color w:val="000000"/>
        </w:rPr>
        <w:t xml:space="preserve"> ensure safety during activities, including driving. </w:t>
      </w:r>
    </w:p>
    <w:p w:rsidR="004F4C69" w:rsidRDefault="004F4C69" w:rsidP="00F823C6">
      <w:pPr>
        <w:pStyle w:val="NormalWeb"/>
        <w:rPr>
          <w:rFonts w:ascii="Arial" w:hAnsi="Arial" w:cs="Arial"/>
          <w:color w:val="000000"/>
        </w:rPr>
      </w:pPr>
    </w:p>
    <w:p w:rsidR="00F823C6" w:rsidRDefault="00F823C6" w:rsidP="00F823C6">
      <w:pPr>
        <w:pStyle w:val="NormalWeb"/>
        <w:rPr>
          <w:rFonts w:ascii="Arial" w:hAnsi="Arial" w:cs="Arial"/>
          <w:color w:val="000000"/>
        </w:rPr>
      </w:pPr>
      <w:r>
        <w:rPr>
          <w:rFonts w:ascii="Arial" w:hAnsi="Arial" w:cs="Arial"/>
          <w:color w:val="000000"/>
        </w:rPr>
        <w:t xml:space="preserve">Healthcare professionals should also be aware of DVLA recommendations on the monitoring of blood glucose to best </w:t>
      </w:r>
      <w:proofErr w:type="gramStart"/>
      <w:r>
        <w:rPr>
          <w:rFonts w:ascii="Arial" w:hAnsi="Arial" w:cs="Arial"/>
          <w:color w:val="000000"/>
        </w:rPr>
        <w:t>advise</w:t>
      </w:r>
      <w:proofErr w:type="gramEnd"/>
      <w:r>
        <w:rPr>
          <w:rFonts w:ascii="Arial" w:hAnsi="Arial" w:cs="Arial"/>
          <w:color w:val="000000"/>
        </w:rPr>
        <w:t xml:space="preserve"> people about their own particular requirements. </w:t>
      </w:r>
    </w:p>
    <w:p w:rsidR="00F823C6" w:rsidRDefault="00F823C6" w:rsidP="00F823C6">
      <w:pPr>
        <w:pStyle w:val="NormalWeb"/>
        <w:rPr>
          <w:rFonts w:ascii="Arial" w:hAnsi="Arial" w:cs="Arial"/>
          <w:color w:val="000000"/>
        </w:rPr>
      </w:pPr>
      <w:r>
        <w:rPr>
          <w:rFonts w:ascii="Arial" w:hAnsi="Arial" w:cs="Arial"/>
          <w:color w:val="000000"/>
        </w:rPr>
        <w:t xml:space="preserve">A Cochrane review (CD005060) found the overall effect of self-monitoring of blood glucose on glycaemic control in people with type 2 diabetes who were not using insulin was small up to 6 months after initiation, and disappeared after 12 months. There was no evidence that self-monitoring of blood glucose affects patient satisfaction, general wellbeing or general health-related quality of life. </w:t>
      </w:r>
    </w:p>
    <w:p w:rsidR="00113E4C" w:rsidRDefault="00113E4C" w:rsidP="00F823C6">
      <w:pPr>
        <w:pStyle w:val="NormalWeb"/>
        <w:rPr>
          <w:rFonts w:ascii="Arial" w:hAnsi="Arial" w:cs="Arial"/>
          <w:color w:val="000000"/>
        </w:rPr>
      </w:pPr>
    </w:p>
    <w:p w:rsidR="00113E4C" w:rsidRPr="00113E4C" w:rsidRDefault="00113E4C" w:rsidP="00113E4C">
      <w:pPr>
        <w:autoSpaceDE w:val="0"/>
        <w:autoSpaceDN w:val="0"/>
        <w:adjustRightInd w:val="0"/>
        <w:spacing w:after="0"/>
        <w:rPr>
          <w:rFonts w:eastAsiaTheme="minorHAnsi" w:cs="Arial"/>
          <w:b/>
          <w:bCs/>
        </w:rPr>
      </w:pPr>
      <w:r w:rsidRPr="00113E4C">
        <w:rPr>
          <w:rFonts w:eastAsiaTheme="minorHAnsi" w:cs="Arial"/>
          <w:b/>
        </w:rPr>
        <w:t xml:space="preserve">This </w:t>
      </w:r>
      <w:r>
        <w:rPr>
          <w:rFonts w:eastAsiaTheme="minorHAnsi" w:cs="Arial"/>
          <w:b/>
        </w:rPr>
        <w:t>toolkit is</w:t>
      </w:r>
      <w:r w:rsidRPr="00113E4C">
        <w:rPr>
          <w:rFonts w:eastAsiaTheme="minorHAnsi" w:cs="Arial"/>
          <w:b/>
        </w:rPr>
        <w:t xml:space="preserve"> intend</w:t>
      </w:r>
      <w:r>
        <w:rPr>
          <w:rFonts w:eastAsiaTheme="minorHAnsi" w:cs="Arial"/>
          <w:b/>
        </w:rPr>
        <w:t xml:space="preserve">ed to </w:t>
      </w:r>
      <w:r w:rsidR="00651113">
        <w:rPr>
          <w:rFonts w:eastAsiaTheme="minorHAnsi" w:cs="Arial"/>
          <w:b/>
        </w:rPr>
        <w:t xml:space="preserve">support </w:t>
      </w:r>
      <w:r w:rsidR="00651113" w:rsidRPr="00113E4C">
        <w:rPr>
          <w:rFonts w:eastAsiaTheme="minorHAnsi" w:cs="Arial"/>
          <w:b/>
        </w:rPr>
        <w:t>CCG</w:t>
      </w:r>
      <w:r w:rsidR="00651113">
        <w:rPr>
          <w:rFonts w:eastAsiaTheme="minorHAnsi" w:cs="Arial"/>
          <w:b/>
        </w:rPr>
        <w:t>s</w:t>
      </w:r>
      <w:r w:rsidRPr="00113E4C">
        <w:rPr>
          <w:rFonts w:eastAsiaTheme="minorHAnsi" w:cs="Arial"/>
          <w:b/>
        </w:rPr>
        <w:t xml:space="preserve"> in recommending to primary care prescribers which blood glucose testing systems available on the UK market offer comprehensive and accurate blood glucose monitoring whilst being cost effective. </w:t>
      </w:r>
      <w:r w:rsidR="00B013C2">
        <w:rPr>
          <w:rFonts w:eastAsiaTheme="minorHAnsi" w:cs="Arial"/>
          <w:b/>
        </w:rPr>
        <w:t xml:space="preserve">Successful implementation depends upon the involvement and support of HCPs across the Health economy (medical/nursing/Pharmacy) and the added value of obtaining patient involvement, perspective and support is </w:t>
      </w:r>
      <w:r w:rsidR="00651113">
        <w:rPr>
          <w:rFonts w:eastAsiaTheme="minorHAnsi" w:cs="Arial"/>
          <w:b/>
        </w:rPr>
        <w:t>considerable</w:t>
      </w:r>
      <w:r w:rsidR="00B013C2">
        <w:rPr>
          <w:rFonts w:eastAsiaTheme="minorHAnsi" w:cs="Arial"/>
          <w:b/>
        </w:rPr>
        <w:t>.</w:t>
      </w:r>
    </w:p>
    <w:p w:rsidR="008E30B6" w:rsidRDefault="004F4C69" w:rsidP="004F4C69">
      <w:pPr>
        <w:pStyle w:val="Heading2"/>
      </w:pPr>
      <w:r>
        <w:t>Blood Glucose Meters and Test Strip Options</w:t>
      </w:r>
    </w:p>
    <w:p w:rsidR="004F4C69" w:rsidRPr="008363D2" w:rsidRDefault="004F4C69" w:rsidP="004F4C69">
      <w:pPr>
        <w:jc w:val="both"/>
      </w:pPr>
      <w:r w:rsidRPr="008363D2">
        <w:t xml:space="preserve">Blood glucose monitoring requires the use of appropriate equipment.  The aim is to limit the use of a wide variation of different blood glucose testing equipment across </w:t>
      </w:r>
      <w:r w:rsidR="00B013C2">
        <w:t>a</w:t>
      </w:r>
      <w:r w:rsidRPr="008363D2">
        <w:t xml:space="preserve"> locality. Advantages are; consistency, reduced risk of errors due to unfamiliarity with equipment, limited unnecessary prescribing</w:t>
      </w:r>
      <w:r>
        <w:t>, and cost effectiveness</w:t>
      </w:r>
      <w:r w:rsidRPr="008363D2">
        <w:t>.</w:t>
      </w:r>
    </w:p>
    <w:p w:rsidR="004F4C69" w:rsidRPr="008363D2" w:rsidRDefault="004F4C69" w:rsidP="004F4C69">
      <w:pPr>
        <w:pStyle w:val="ListBullet"/>
      </w:pPr>
      <w:r w:rsidRPr="008363D2">
        <w:t>Blood glucose testing should be used as part of a care plan for the management of Diabetes following structured patient education which includes the purpose of testing</w:t>
      </w:r>
    </w:p>
    <w:p w:rsidR="004F4C69" w:rsidRPr="008363D2" w:rsidRDefault="004F4C69" w:rsidP="004F4C69">
      <w:pPr>
        <w:pStyle w:val="ListBullet"/>
      </w:pPr>
      <w:r w:rsidRPr="008363D2">
        <w:t xml:space="preserve">The decision to change meters should </w:t>
      </w:r>
      <w:r>
        <w:t>be used as an opportunity to review</w:t>
      </w:r>
      <w:r w:rsidRPr="008363D2">
        <w:t xml:space="preserve"> </w:t>
      </w:r>
      <w:r>
        <w:t xml:space="preserve">the purpose of </w:t>
      </w:r>
      <w:r w:rsidRPr="008363D2">
        <w:t>testing and the interpretation of results</w:t>
      </w:r>
    </w:p>
    <w:p w:rsidR="004F4C69" w:rsidRDefault="004F4C69" w:rsidP="004F4C69">
      <w:pPr>
        <w:pStyle w:val="ListBullet"/>
      </w:pPr>
      <w:r w:rsidRPr="008363D2">
        <w:t xml:space="preserve">If a change in prescribed test strips is required, patients should be encouraged to use their current supply of test strips first as long as the strips have not reached their expiry date and the current meter is in working order </w:t>
      </w:r>
    </w:p>
    <w:p w:rsidR="004F4C69" w:rsidRPr="003C7718" w:rsidRDefault="004F4C69" w:rsidP="004F4C69">
      <w:pPr>
        <w:pStyle w:val="ListBullet"/>
        <w:rPr>
          <w:rFonts w:cs="Arial"/>
        </w:rPr>
      </w:pPr>
      <w:r>
        <w:t xml:space="preserve">Regular review of blood glucose monitoring use, needs and expected benefits is recommended. </w:t>
      </w:r>
    </w:p>
    <w:p w:rsidR="004F4C69" w:rsidRPr="005707E2" w:rsidRDefault="004F4C69" w:rsidP="004F4C69">
      <w:pPr>
        <w:pStyle w:val="ListBullet"/>
        <w:rPr>
          <w:rFonts w:cs="Arial"/>
        </w:rPr>
      </w:pPr>
      <w:r>
        <w:t>Patients should be reminded to use control solutions/calibrate machines in line with manufacturer recommendations</w:t>
      </w:r>
    </w:p>
    <w:p w:rsidR="005707E2" w:rsidRDefault="005707E2" w:rsidP="005707E2">
      <w:pPr>
        <w:pStyle w:val="ListBullet"/>
        <w:numPr>
          <w:ilvl w:val="0"/>
          <w:numId w:val="0"/>
        </w:numPr>
        <w:ind w:left="641" w:hanging="357"/>
      </w:pPr>
    </w:p>
    <w:p w:rsidR="005707E2" w:rsidRPr="005707E2" w:rsidRDefault="005707E2" w:rsidP="005707E2">
      <w:pPr>
        <w:pStyle w:val="ListBullet"/>
        <w:numPr>
          <w:ilvl w:val="0"/>
          <w:numId w:val="0"/>
        </w:numPr>
        <w:ind w:left="641" w:hanging="357"/>
        <w:rPr>
          <w:rFonts w:cs="Arial"/>
        </w:rPr>
      </w:pPr>
    </w:p>
    <w:p w:rsidR="005707E2" w:rsidRDefault="005707E2" w:rsidP="005707E2">
      <w:pPr>
        <w:pStyle w:val="ListBullet"/>
        <w:numPr>
          <w:ilvl w:val="0"/>
          <w:numId w:val="0"/>
        </w:numPr>
        <w:ind w:left="641" w:hanging="357"/>
      </w:pPr>
    </w:p>
    <w:p w:rsidR="005707E2" w:rsidRPr="00E7056E" w:rsidRDefault="005707E2" w:rsidP="005707E2">
      <w:pPr>
        <w:pStyle w:val="ListBullet"/>
        <w:numPr>
          <w:ilvl w:val="0"/>
          <w:numId w:val="0"/>
        </w:numPr>
        <w:ind w:left="641" w:hanging="357"/>
        <w:rPr>
          <w:b/>
          <w:sz w:val="28"/>
          <w:szCs w:val="28"/>
        </w:rPr>
      </w:pPr>
      <w:r w:rsidRPr="00E7056E">
        <w:rPr>
          <w:b/>
          <w:sz w:val="28"/>
          <w:szCs w:val="28"/>
        </w:rPr>
        <w:t>Criteria for selection</w:t>
      </w:r>
    </w:p>
    <w:p w:rsidR="005707E2" w:rsidRPr="005707E2" w:rsidRDefault="005707E2" w:rsidP="005707E2">
      <w:pPr>
        <w:pStyle w:val="ListBullet"/>
        <w:numPr>
          <w:ilvl w:val="0"/>
          <w:numId w:val="0"/>
        </w:numPr>
        <w:ind w:left="641" w:hanging="357"/>
        <w:rPr>
          <w:rFonts w:cs="Arial"/>
          <w:b/>
        </w:rPr>
      </w:pPr>
    </w:p>
    <w:tbl>
      <w:tblPr>
        <w:tblStyle w:val="TableGrid"/>
        <w:tblW w:w="0" w:type="auto"/>
        <w:tblInd w:w="641" w:type="dxa"/>
        <w:tblLook w:val="04A0" w:firstRow="1" w:lastRow="0" w:firstColumn="1" w:lastColumn="0" w:noHBand="0" w:noVBand="1"/>
      </w:tblPr>
      <w:tblGrid>
        <w:gridCol w:w="1764"/>
        <w:gridCol w:w="1817"/>
        <w:gridCol w:w="1480"/>
        <w:gridCol w:w="1364"/>
        <w:gridCol w:w="1480"/>
        <w:gridCol w:w="1302"/>
      </w:tblGrid>
      <w:tr w:rsidR="003572C2" w:rsidTr="00C34C4A">
        <w:tc>
          <w:tcPr>
            <w:tcW w:w="1764" w:type="dxa"/>
            <w:shd w:val="clear" w:color="auto" w:fill="CCC0D9" w:themeFill="accent4" w:themeFillTint="66"/>
          </w:tcPr>
          <w:p w:rsidR="00162E68" w:rsidRPr="00162E68" w:rsidRDefault="00162E68" w:rsidP="004F4C69">
            <w:pPr>
              <w:pStyle w:val="ListBullet"/>
              <w:numPr>
                <w:ilvl w:val="0"/>
                <w:numId w:val="0"/>
              </w:numPr>
              <w:rPr>
                <w:b/>
              </w:rPr>
            </w:pPr>
            <w:r w:rsidRPr="00162E68">
              <w:rPr>
                <w:b/>
              </w:rPr>
              <w:t>Quality Indicator</w:t>
            </w:r>
          </w:p>
        </w:tc>
        <w:tc>
          <w:tcPr>
            <w:tcW w:w="1817" w:type="dxa"/>
            <w:shd w:val="clear" w:color="auto" w:fill="CCC0D9" w:themeFill="accent4" w:themeFillTint="66"/>
          </w:tcPr>
          <w:p w:rsidR="00162E68" w:rsidRDefault="00162E68" w:rsidP="004F4C69">
            <w:pPr>
              <w:pStyle w:val="ListBullet"/>
              <w:numPr>
                <w:ilvl w:val="0"/>
                <w:numId w:val="0"/>
              </w:numPr>
            </w:pPr>
            <w:r>
              <w:t>Considerations</w:t>
            </w:r>
          </w:p>
        </w:tc>
        <w:tc>
          <w:tcPr>
            <w:tcW w:w="1480" w:type="dxa"/>
          </w:tcPr>
          <w:p w:rsidR="00162E68" w:rsidRDefault="00162E68" w:rsidP="004F4C69">
            <w:pPr>
              <w:pStyle w:val="ListBullet"/>
              <w:numPr>
                <w:ilvl w:val="0"/>
                <w:numId w:val="0"/>
              </w:numPr>
            </w:pPr>
          </w:p>
        </w:tc>
        <w:tc>
          <w:tcPr>
            <w:tcW w:w="1364" w:type="dxa"/>
          </w:tcPr>
          <w:p w:rsidR="00162E68" w:rsidRDefault="00162E68" w:rsidP="004F4C69">
            <w:pPr>
              <w:pStyle w:val="ListBullet"/>
              <w:numPr>
                <w:ilvl w:val="0"/>
                <w:numId w:val="0"/>
              </w:numPr>
            </w:pPr>
          </w:p>
        </w:tc>
        <w:tc>
          <w:tcPr>
            <w:tcW w:w="1480" w:type="dxa"/>
          </w:tcPr>
          <w:p w:rsidR="00162E68" w:rsidRDefault="00162E68" w:rsidP="004F4C69">
            <w:pPr>
              <w:pStyle w:val="ListBullet"/>
              <w:numPr>
                <w:ilvl w:val="0"/>
                <w:numId w:val="0"/>
              </w:numPr>
            </w:pPr>
          </w:p>
        </w:tc>
        <w:tc>
          <w:tcPr>
            <w:tcW w:w="1302" w:type="dxa"/>
          </w:tcPr>
          <w:p w:rsidR="00162E68" w:rsidRDefault="00162E68" w:rsidP="004F4C69">
            <w:pPr>
              <w:pStyle w:val="ListBullet"/>
              <w:numPr>
                <w:ilvl w:val="0"/>
                <w:numId w:val="0"/>
              </w:numPr>
            </w:pPr>
          </w:p>
        </w:tc>
      </w:tr>
      <w:tr w:rsidR="004A3D24" w:rsidTr="008A40ED">
        <w:tc>
          <w:tcPr>
            <w:tcW w:w="1764" w:type="dxa"/>
            <w:shd w:val="clear" w:color="auto" w:fill="CCC0D9" w:themeFill="accent4" w:themeFillTint="66"/>
          </w:tcPr>
          <w:p w:rsidR="004A3D24" w:rsidRDefault="004A3D24" w:rsidP="004F4C69">
            <w:pPr>
              <w:pStyle w:val="ListBullet"/>
              <w:numPr>
                <w:ilvl w:val="0"/>
                <w:numId w:val="0"/>
              </w:numPr>
            </w:pPr>
            <w:r>
              <w:t>ISO 2013 conformance to standards</w:t>
            </w:r>
          </w:p>
        </w:tc>
        <w:tc>
          <w:tcPr>
            <w:tcW w:w="3297" w:type="dxa"/>
            <w:gridSpan w:val="2"/>
          </w:tcPr>
          <w:p w:rsidR="004A3D24" w:rsidRDefault="004A3D24" w:rsidP="004F4C69">
            <w:pPr>
              <w:pStyle w:val="ListBullet"/>
              <w:numPr>
                <w:ilvl w:val="0"/>
                <w:numId w:val="0"/>
              </w:numPr>
            </w:pPr>
            <w:r w:rsidRPr="00340987">
              <w:rPr>
                <w:rFonts w:eastAsiaTheme="minorHAnsi" w:cs="Arial"/>
                <w:sz w:val="18"/>
                <w:szCs w:val="18"/>
              </w:rPr>
              <w:t>This International Standard is intended for blood-glucose monitoring systems used by lay persons. The primary objectives are to establish requirements that result in acceptable performance and to specify procedures for demonstrating conformance to this International Standard.</w:t>
            </w:r>
          </w:p>
        </w:tc>
        <w:tc>
          <w:tcPr>
            <w:tcW w:w="1364" w:type="dxa"/>
          </w:tcPr>
          <w:p w:rsidR="004A3D24" w:rsidRPr="004A3D24" w:rsidRDefault="004A3D24" w:rsidP="004A3D24">
            <w:pPr>
              <w:autoSpaceDE w:val="0"/>
              <w:autoSpaceDN w:val="0"/>
              <w:adjustRightInd w:val="0"/>
              <w:spacing w:after="0"/>
              <w:rPr>
                <w:rFonts w:ascii="Cambria" w:eastAsiaTheme="minorHAnsi" w:hAnsi="Cambria" w:cs="Cambria"/>
                <w:b/>
                <w:sz w:val="22"/>
                <w:szCs w:val="22"/>
              </w:rPr>
            </w:pPr>
            <w:r w:rsidRPr="004A3D24">
              <w:rPr>
                <w:rFonts w:cs="Arial"/>
                <w:b/>
                <w:color w:val="000000"/>
                <w:sz w:val="20"/>
                <w:szCs w:val="20"/>
                <w:lang w:eastAsia="en-GB"/>
              </w:rPr>
              <w:t>There are 5 criteria –</w:t>
            </w:r>
          </w:p>
          <w:p w:rsidR="004A3D24" w:rsidRPr="004A3D24" w:rsidRDefault="004A3D24" w:rsidP="004A3D24">
            <w:pPr>
              <w:spacing w:after="0"/>
              <w:rPr>
                <w:rFonts w:cs="Arial"/>
                <w:color w:val="000000"/>
                <w:sz w:val="18"/>
                <w:szCs w:val="18"/>
                <w:lang w:eastAsia="en-GB"/>
              </w:rPr>
            </w:pPr>
            <w:r w:rsidRPr="004A3D24">
              <w:rPr>
                <w:rFonts w:cs="Arial"/>
                <w:color w:val="000000"/>
                <w:sz w:val="18"/>
                <w:szCs w:val="18"/>
                <w:lang w:eastAsia="en-GB"/>
              </w:rPr>
              <w:t>Lab &amp; User accuracy</w:t>
            </w:r>
          </w:p>
          <w:p w:rsidR="004A3D24" w:rsidRPr="004A3D24" w:rsidRDefault="004A3D24" w:rsidP="004A3D24">
            <w:pPr>
              <w:spacing w:after="0"/>
              <w:rPr>
                <w:rFonts w:cs="Arial"/>
                <w:color w:val="000000"/>
                <w:sz w:val="18"/>
                <w:szCs w:val="18"/>
                <w:lang w:eastAsia="en-GB"/>
              </w:rPr>
            </w:pPr>
            <w:r w:rsidRPr="004A3D24">
              <w:rPr>
                <w:rFonts w:cs="Arial"/>
                <w:color w:val="000000"/>
                <w:sz w:val="18"/>
                <w:szCs w:val="18"/>
                <w:lang w:eastAsia="en-GB"/>
              </w:rPr>
              <w:t>- Clinical accuracy</w:t>
            </w:r>
          </w:p>
          <w:p w:rsidR="004A3D24" w:rsidRPr="004A3D24" w:rsidRDefault="004A3D24" w:rsidP="004A3D24">
            <w:pPr>
              <w:spacing w:after="0"/>
              <w:rPr>
                <w:rFonts w:cs="Arial"/>
                <w:color w:val="000000"/>
                <w:sz w:val="18"/>
                <w:szCs w:val="18"/>
                <w:lang w:eastAsia="en-GB"/>
              </w:rPr>
            </w:pPr>
            <w:r w:rsidRPr="004A3D24">
              <w:rPr>
                <w:rFonts w:cs="Arial"/>
                <w:color w:val="000000"/>
                <w:sz w:val="18"/>
                <w:szCs w:val="18"/>
                <w:lang w:eastAsia="en-GB"/>
              </w:rPr>
              <w:t>- Haematocrit evaluation</w:t>
            </w:r>
          </w:p>
          <w:p w:rsidR="004A3D24" w:rsidRPr="004A3D24" w:rsidRDefault="004A3D24" w:rsidP="004A3D24">
            <w:pPr>
              <w:spacing w:after="0"/>
              <w:rPr>
                <w:rFonts w:cs="Arial"/>
                <w:color w:val="000000"/>
                <w:sz w:val="18"/>
                <w:szCs w:val="18"/>
                <w:lang w:eastAsia="en-GB"/>
              </w:rPr>
            </w:pPr>
            <w:r>
              <w:rPr>
                <w:rFonts w:cs="Arial"/>
                <w:color w:val="000000"/>
                <w:sz w:val="18"/>
                <w:szCs w:val="18"/>
                <w:lang w:eastAsia="en-GB"/>
              </w:rPr>
              <w:t>-</w:t>
            </w:r>
            <w:r w:rsidRPr="004A3D24">
              <w:rPr>
                <w:rFonts w:cs="Arial"/>
                <w:color w:val="000000"/>
                <w:sz w:val="18"/>
                <w:szCs w:val="18"/>
                <w:lang w:eastAsia="en-GB"/>
              </w:rPr>
              <w:t xml:space="preserve">Interferences </w:t>
            </w:r>
          </w:p>
          <w:p w:rsidR="004A3D24" w:rsidRPr="004A3D24" w:rsidRDefault="004A3D24" w:rsidP="004A3D24">
            <w:pPr>
              <w:spacing w:after="0"/>
              <w:rPr>
                <w:rFonts w:cs="Arial"/>
                <w:color w:val="000000"/>
                <w:sz w:val="18"/>
                <w:szCs w:val="18"/>
                <w:lang w:eastAsia="en-GB"/>
              </w:rPr>
            </w:pPr>
            <w:r w:rsidRPr="004A3D24">
              <w:rPr>
                <w:rFonts w:cs="Arial"/>
                <w:color w:val="000000"/>
                <w:sz w:val="18"/>
                <w:szCs w:val="18"/>
                <w:lang w:eastAsia="en-GB"/>
              </w:rPr>
              <w:t>- Contra-Indications</w:t>
            </w:r>
          </w:p>
        </w:tc>
        <w:tc>
          <w:tcPr>
            <w:tcW w:w="2782" w:type="dxa"/>
            <w:gridSpan w:val="2"/>
          </w:tcPr>
          <w:p w:rsidR="004A3D24" w:rsidRPr="004A3D24" w:rsidRDefault="004A3D24" w:rsidP="004A3D24">
            <w:pPr>
              <w:spacing w:after="0"/>
              <w:rPr>
                <w:rFonts w:cs="Arial"/>
                <w:color w:val="000000"/>
                <w:sz w:val="18"/>
                <w:szCs w:val="18"/>
                <w:lang w:eastAsia="en-GB"/>
              </w:rPr>
            </w:pPr>
            <w:r w:rsidRPr="004A3D24">
              <w:rPr>
                <w:rFonts w:cs="Arial"/>
                <w:color w:val="000000"/>
                <w:sz w:val="18"/>
                <w:szCs w:val="18"/>
                <w:lang w:eastAsia="en-GB"/>
              </w:rPr>
              <w:t>The standards which govern blood glucose monitoring are now under a transition period which will end in October 2016 by which time all machines must comply.</w:t>
            </w:r>
          </w:p>
          <w:p w:rsidR="004A3D24" w:rsidRDefault="004A3D24" w:rsidP="004F4C69">
            <w:pPr>
              <w:pStyle w:val="ListBullet"/>
              <w:numPr>
                <w:ilvl w:val="0"/>
                <w:numId w:val="0"/>
              </w:numPr>
            </w:pPr>
          </w:p>
        </w:tc>
      </w:tr>
      <w:tr w:rsidR="00C863B3" w:rsidTr="006E1D07">
        <w:tc>
          <w:tcPr>
            <w:tcW w:w="1764" w:type="dxa"/>
            <w:shd w:val="clear" w:color="auto" w:fill="CCC0D9" w:themeFill="accent4" w:themeFillTint="66"/>
          </w:tcPr>
          <w:p w:rsidR="00C863B3" w:rsidRDefault="00C863B3" w:rsidP="004F4C69">
            <w:pPr>
              <w:pStyle w:val="ListBullet"/>
              <w:numPr>
                <w:ilvl w:val="0"/>
                <w:numId w:val="0"/>
              </w:numPr>
            </w:pPr>
            <w:r>
              <w:t>Enzyme system</w:t>
            </w:r>
          </w:p>
        </w:tc>
        <w:tc>
          <w:tcPr>
            <w:tcW w:w="7443" w:type="dxa"/>
            <w:gridSpan w:val="5"/>
          </w:tcPr>
          <w:p w:rsidR="00C863B3" w:rsidRDefault="00C863B3" w:rsidP="004F4C69">
            <w:pPr>
              <w:pStyle w:val="ListBullet"/>
              <w:numPr>
                <w:ilvl w:val="0"/>
                <w:numId w:val="0"/>
              </w:numPr>
            </w:pPr>
            <w:r>
              <w:rPr>
                <w:rFonts w:cs="Arial"/>
                <w:sz w:val="18"/>
                <w:szCs w:val="18"/>
                <w:lang w:eastAsia="en-GB"/>
              </w:rPr>
              <w:t>W</w:t>
            </w:r>
            <w:r w:rsidRPr="00571384">
              <w:rPr>
                <w:rFonts w:cs="Arial"/>
                <w:sz w:val="18"/>
                <w:szCs w:val="18"/>
                <w:lang w:eastAsia="en-GB"/>
              </w:rPr>
              <w:t>here the measuring system uses the enzyme glucose oxidase then although manufacturers claim that stable oxygen levels have little effect, ‘rapid’ changes in blood oxygen have been shown to have a large effect on the accuracy of the results produced. Therefore systems using glucose oxidase should not be used where the patient is on oxygen therapy.</w:t>
            </w:r>
          </w:p>
        </w:tc>
      </w:tr>
      <w:tr w:rsidR="00E7056E" w:rsidTr="008A1D6E">
        <w:tc>
          <w:tcPr>
            <w:tcW w:w="1764" w:type="dxa"/>
            <w:shd w:val="clear" w:color="auto" w:fill="CCC0D9" w:themeFill="accent4" w:themeFillTint="66"/>
          </w:tcPr>
          <w:p w:rsidR="00E7056E" w:rsidRDefault="00E7056E" w:rsidP="004F4C69">
            <w:pPr>
              <w:pStyle w:val="ListBullet"/>
              <w:numPr>
                <w:ilvl w:val="0"/>
                <w:numId w:val="0"/>
              </w:numPr>
            </w:pPr>
            <w:r>
              <w:t>Contra-indications</w:t>
            </w:r>
          </w:p>
        </w:tc>
        <w:tc>
          <w:tcPr>
            <w:tcW w:w="4661" w:type="dxa"/>
            <w:gridSpan w:val="3"/>
          </w:tcPr>
          <w:p w:rsidR="00E7056E" w:rsidRPr="00580DA0" w:rsidRDefault="00E7056E" w:rsidP="00580DA0">
            <w:pPr>
              <w:spacing w:after="0"/>
              <w:rPr>
                <w:rFonts w:cs="Arial"/>
                <w:sz w:val="18"/>
                <w:szCs w:val="18"/>
                <w:lang w:eastAsia="en-GB"/>
              </w:rPr>
            </w:pPr>
            <w:r w:rsidRPr="00580DA0">
              <w:rPr>
                <w:rFonts w:cs="Arial"/>
                <w:sz w:val="18"/>
                <w:szCs w:val="18"/>
                <w:lang w:eastAsia="en-GB"/>
              </w:rPr>
              <w:t>Some contraindications are common to all capillary sample glucose estimations; capillary samples should not be used in cases of:-</w:t>
            </w:r>
          </w:p>
          <w:p w:rsidR="00E7056E" w:rsidRPr="00580DA0" w:rsidRDefault="00E7056E" w:rsidP="00580DA0">
            <w:pPr>
              <w:spacing w:after="0"/>
              <w:rPr>
                <w:rFonts w:cs="Arial"/>
                <w:sz w:val="18"/>
                <w:szCs w:val="18"/>
                <w:lang w:eastAsia="en-GB"/>
              </w:rPr>
            </w:pPr>
            <w:r w:rsidRPr="00580DA0">
              <w:rPr>
                <w:rFonts w:cs="Arial"/>
                <w:sz w:val="18"/>
                <w:szCs w:val="18"/>
                <w:lang w:eastAsia="en-GB"/>
              </w:rPr>
              <w:t>Shock</w:t>
            </w:r>
          </w:p>
          <w:p w:rsidR="00E7056E" w:rsidRPr="00580DA0" w:rsidRDefault="00E7056E" w:rsidP="00580DA0">
            <w:pPr>
              <w:spacing w:after="0"/>
              <w:rPr>
                <w:rFonts w:cs="Arial"/>
                <w:sz w:val="18"/>
                <w:szCs w:val="18"/>
                <w:lang w:eastAsia="en-GB"/>
              </w:rPr>
            </w:pPr>
            <w:r w:rsidRPr="00580DA0">
              <w:rPr>
                <w:rFonts w:cs="Arial"/>
                <w:sz w:val="18"/>
                <w:szCs w:val="18"/>
                <w:lang w:eastAsia="en-GB"/>
              </w:rPr>
              <w:t>Dehydration</w:t>
            </w:r>
          </w:p>
          <w:p w:rsidR="00E7056E" w:rsidRPr="00580DA0" w:rsidRDefault="00E7056E" w:rsidP="00580DA0">
            <w:pPr>
              <w:spacing w:after="0"/>
              <w:rPr>
                <w:rFonts w:cs="Arial"/>
                <w:sz w:val="18"/>
                <w:szCs w:val="18"/>
                <w:lang w:eastAsia="en-GB"/>
              </w:rPr>
            </w:pPr>
            <w:r w:rsidRPr="00580DA0">
              <w:rPr>
                <w:rFonts w:cs="Arial"/>
                <w:sz w:val="18"/>
                <w:szCs w:val="18"/>
                <w:lang w:eastAsia="en-GB"/>
              </w:rPr>
              <w:t>Hyperosmolar states (including DKA)</w:t>
            </w:r>
          </w:p>
          <w:p w:rsidR="00E7056E" w:rsidRDefault="00E7056E" w:rsidP="004F4C69">
            <w:pPr>
              <w:pStyle w:val="ListBullet"/>
              <w:numPr>
                <w:ilvl w:val="0"/>
                <w:numId w:val="0"/>
              </w:numPr>
            </w:pPr>
            <w:r w:rsidRPr="00580DA0">
              <w:rPr>
                <w:rFonts w:cs="Arial"/>
                <w:sz w:val="18"/>
                <w:szCs w:val="18"/>
                <w:lang w:eastAsia="en-GB"/>
              </w:rPr>
              <w:t>Patients with poor peripheral circulation.</w:t>
            </w:r>
          </w:p>
        </w:tc>
        <w:tc>
          <w:tcPr>
            <w:tcW w:w="2782" w:type="dxa"/>
            <w:gridSpan w:val="2"/>
          </w:tcPr>
          <w:p w:rsidR="00E7056E" w:rsidRDefault="00E7056E" w:rsidP="004F4C69">
            <w:pPr>
              <w:pStyle w:val="ListBullet"/>
              <w:numPr>
                <w:ilvl w:val="0"/>
                <w:numId w:val="0"/>
              </w:numPr>
            </w:pPr>
            <w:r w:rsidRPr="00E7056E">
              <w:rPr>
                <w:rFonts w:cs="Arial"/>
                <w:sz w:val="18"/>
                <w:szCs w:val="18"/>
                <w:lang w:eastAsia="en-GB"/>
              </w:rPr>
              <w:t>None of the systems should be used to diagnose Diabetes and none is suitable for use on neonates.</w:t>
            </w:r>
          </w:p>
        </w:tc>
      </w:tr>
      <w:tr w:rsidR="00B013C2" w:rsidTr="001A4DC0">
        <w:tc>
          <w:tcPr>
            <w:tcW w:w="1764" w:type="dxa"/>
            <w:shd w:val="clear" w:color="auto" w:fill="CCC0D9" w:themeFill="accent4" w:themeFillTint="66"/>
          </w:tcPr>
          <w:p w:rsidR="00B013C2" w:rsidRDefault="00B013C2" w:rsidP="004F4C69">
            <w:pPr>
              <w:pStyle w:val="ListBullet"/>
              <w:numPr>
                <w:ilvl w:val="0"/>
                <w:numId w:val="0"/>
              </w:numPr>
            </w:pPr>
            <w:r>
              <w:t>Haematocrit range</w:t>
            </w:r>
          </w:p>
        </w:tc>
        <w:tc>
          <w:tcPr>
            <w:tcW w:w="7443" w:type="dxa"/>
            <w:gridSpan w:val="5"/>
          </w:tcPr>
          <w:p w:rsidR="00B013C2" w:rsidRDefault="00B013C2" w:rsidP="004F4C69">
            <w:pPr>
              <w:pStyle w:val="ListBullet"/>
              <w:numPr>
                <w:ilvl w:val="0"/>
                <w:numId w:val="0"/>
              </w:numPr>
            </w:pPr>
            <w:r w:rsidRPr="00340987">
              <w:rPr>
                <w:rFonts w:cs="Arial"/>
                <w:sz w:val="18"/>
                <w:szCs w:val="18"/>
              </w:rPr>
              <w:t xml:space="preserve">Anaemic patients will give falsely high results and </w:t>
            </w:r>
            <w:proofErr w:type="spellStart"/>
            <w:r w:rsidRPr="00340987">
              <w:rPr>
                <w:rFonts w:cs="Arial"/>
                <w:sz w:val="18"/>
                <w:szCs w:val="18"/>
              </w:rPr>
              <w:t>haemoconcentrated</w:t>
            </w:r>
            <w:proofErr w:type="spellEnd"/>
            <w:r w:rsidRPr="00340987">
              <w:rPr>
                <w:rFonts w:cs="Arial"/>
                <w:sz w:val="18"/>
                <w:szCs w:val="18"/>
              </w:rPr>
              <w:t xml:space="preserve"> patients give falsely low results- a useable range will be stated for each system</w:t>
            </w:r>
          </w:p>
        </w:tc>
      </w:tr>
      <w:tr w:rsidR="00B013C2" w:rsidTr="006339FC">
        <w:tc>
          <w:tcPr>
            <w:tcW w:w="1764" w:type="dxa"/>
            <w:shd w:val="clear" w:color="auto" w:fill="CCC0D9" w:themeFill="accent4" w:themeFillTint="66"/>
          </w:tcPr>
          <w:p w:rsidR="00B013C2" w:rsidRDefault="00B013C2" w:rsidP="004F4C69">
            <w:pPr>
              <w:pStyle w:val="ListBullet"/>
              <w:numPr>
                <w:ilvl w:val="0"/>
                <w:numId w:val="0"/>
              </w:numPr>
            </w:pPr>
            <w:proofErr w:type="spellStart"/>
            <w:r>
              <w:t>Interferents</w:t>
            </w:r>
            <w:proofErr w:type="spellEnd"/>
          </w:p>
        </w:tc>
        <w:tc>
          <w:tcPr>
            <w:tcW w:w="7443" w:type="dxa"/>
            <w:gridSpan w:val="5"/>
          </w:tcPr>
          <w:p w:rsidR="00B013C2" w:rsidRDefault="00B013C2" w:rsidP="00B013C2">
            <w:pPr>
              <w:pStyle w:val="ListBullet"/>
              <w:numPr>
                <w:ilvl w:val="0"/>
                <w:numId w:val="0"/>
              </w:numPr>
            </w:pPr>
            <w:r>
              <w:rPr>
                <w:rFonts w:cs="Arial"/>
                <w:sz w:val="18"/>
                <w:szCs w:val="18"/>
              </w:rPr>
              <w:t xml:space="preserve">Check the range of </w:t>
            </w:r>
            <w:r w:rsidRPr="00340987">
              <w:rPr>
                <w:rFonts w:cs="Arial"/>
                <w:sz w:val="18"/>
                <w:szCs w:val="18"/>
              </w:rPr>
              <w:t xml:space="preserve"> possible interfering substances which include bilirubin, uric acid, paracetamol, ascorbic acid, cholesterol, triglycerides, maltose, galactose, lactos</w:t>
            </w:r>
            <w:r>
              <w:rPr>
                <w:rFonts w:cs="Arial"/>
                <w:sz w:val="18"/>
                <w:szCs w:val="18"/>
              </w:rPr>
              <w:t xml:space="preserve">e, xylose </w:t>
            </w:r>
          </w:p>
        </w:tc>
      </w:tr>
      <w:tr w:rsidR="003572C2" w:rsidTr="004A3D24">
        <w:tc>
          <w:tcPr>
            <w:tcW w:w="1764" w:type="dxa"/>
            <w:shd w:val="clear" w:color="auto" w:fill="CCC0D9" w:themeFill="accent4" w:themeFillTint="66"/>
          </w:tcPr>
          <w:p w:rsidR="003572C2" w:rsidRDefault="003572C2" w:rsidP="004F4C69">
            <w:pPr>
              <w:pStyle w:val="ListBullet"/>
              <w:numPr>
                <w:ilvl w:val="0"/>
                <w:numId w:val="0"/>
              </w:numPr>
            </w:pPr>
            <w:r>
              <w:t>Additional considerations</w:t>
            </w:r>
          </w:p>
          <w:p w:rsidR="003572C2" w:rsidRDefault="003572C2" w:rsidP="004F4C69">
            <w:pPr>
              <w:pStyle w:val="ListBullet"/>
              <w:numPr>
                <w:ilvl w:val="0"/>
                <w:numId w:val="0"/>
              </w:numPr>
            </w:pPr>
            <w:r>
              <w:t>(patient factors)</w:t>
            </w:r>
          </w:p>
        </w:tc>
        <w:tc>
          <w:tcPr>
            <w:tcW w:w="1817" w:type="dxa"/>
          </w:tcPr>
          <w:p w:rsidR="003572C2" w:rsidRDefault="003572C2" w:rsidP="002A7E7B">
            <w:pPr>
              <w:pStyle w:val="ListBullet"/>
              <w:numPr>
                <w:ilvl w:val="0"/>
                <w:numId w:val="0"/>
              </w:numPr>
              <w:rPr>
                <w:sz w:val="20"/>
                <w:szCs w:val="20"/>
              </w:rPr>
            </w:pPr>
            <w:r w:rsidRPr="0097142E">
              <w:rPr>
                <w:sz w:val="20"/>
                <w:szCs w:val="20"/>
              </w:rPr>
              <w:t>Set up required?</w:t>
            </w:r>
          </w:p>
          <w:p w:rsidR="002A7E7B" w:rsidRPr="0097142E" w:rsidRDefault="002A7E7B" w:rsidP="002A7E7B">
            <w:pPr>
              <w:pStyle w:val="ListBullet"/>
              <w:numPr>
                <w:ilvl w:val="0"/>
                <w:numId w:val="0"/>
              </w:numPr>
              <w:rPr>
                <w:sz w:val="20"/>
                <w:szCs w:val="20"/>
              </w:rPr>
            </w:pPr>
            <w:r w:rsidRPr="0097142E">
              <w:rPr>
                <w:sz w:val="20"/>
                <w:szCs w:val="20"/>
              </w:rPr>
              <w:t>Coding required?</w:t>
            </w:r>
          </w:p>
        </w:tc>
        <w:tc>
          <w:tcPr>
            <w:tcW w:w="1480" w:type="dxa"/>
          </w:tcPr>
          <w:p w:rsidR="003572C2" w:rsidRPr="002A7E7B" w:rsidRDefault="002A7E7B" w:rsidP="004F4C69">
            <w:pPr>
              <w:pStyle w:val="ListBullet"/>
              <w:numPr>
                <w:ilvl w:val="0"/>
                <w:numId w:val="0"/>
              </w:numPr>
              <w:rPr>
                <w:sz w:val="20"/>
                <w:szCs w:val="20"/>
              </w:rPr>
            </w:pPr>
            <w:r>
              <w:rPr>
                <w:rFonts w:eastAsiaTheme="minorHAnsi" w:cs="Arial"/>
                <w:bCs/>
                <w:sz w:val="20"/>
                <w:szCs w:val="20"/>
              </w:rPr>
              <w:t>T</w:t>
            </w:r>
            <w:r w:rsidRPr="002A7E7B">
              <w:rPr>
                <w:rFonts w:eastAsiaTheme="minorHAnsi" w:cs="Arial"/>
                <w:bCs/>
                <w:sz w:val="20"/>
                <w:szCs w:val="20"/>
              </w:rPr>
              <w:t>est strip shelf life once opened</w:t>
            </w:r>
          </w:p>
        </w:tc>
        <w:tc>
          <w:tcPr>
            <w:tcW w:w="1364" w:type="dxa"/>
          </w:tcPr>
          <w:p w:rsidR="003572C2" w:rsidRPr="0097142E" w:rsidRDefault="003572C2" w:rsidP="004F4C69">
            <w:pPr>
              <w:pStyle w:val="ListBullet"/>
              <w:numPr>
                <w:ilvl w:val="0"/>
                <w:numId w:val="0"/>
              </w:numPr>
              <w:rPr>
                <w:sz w:val="20"/>
                <w:szCs w:val="20"/>
              </w:rPr>
            </w:pPr>
            <w:r w:rsidRPr="0097142E">
              <w:rPr>
                <w:sz w:val="20"/>
                <w:szCs w:val="20"/>
              </w:rPr>
              <w:t>Sample size, under fill detection</w:t>
            </w:r>
          </w:p>
        </w:tc>
        <w:tc>
          <w:tcPr>
            <w:tcW w:w="1480" w:type="dxa"/>
          </w:tcPr>
          <w:p w:rsidR="003572C2" w:rsidRPr="0097142E" w:rsidRDefault="003572C2" w:rsidP="004F4C69">
            <w:pPr>
              <w:pStyle w:val="ListBullet"/>
              <w:numPr>
                <w:ilvl w:val="0"/>
                <w:numId w:val="0"/>
              </w:numPr>
              <w:rPr>
                <w:sz w:val="20"/>
                <w:szCs w:val="20"/>
              </w:rPr>
            </w:pPr>
            <w:r w:rsidRPr="0097142E">
              <w:rPr>
                <w:sz w:val="20"/>
                <w:szCs w:val="20"/>
              </w:rPr>
              <w:t>Measurement time,</w:t>
            </w:r>
            <w:r w:rsidR="002A7E7B">
              <w:rPr>
                <w:sz w:val="20"/>
                <w:szCs w:val="20"/>
              </w:rPr>
              <w:t xml:space="preserve"> </w:t>
            </w:r>
            <w:r w:rsidRPr="0097142E">
              <w:rPr>
                <w:sz w:val="20"/>
                <w:szCs w:val="20"/>
              </w:rPr>
              <w:t>back light, display size</w:t>
            </w:r>
          </w:p>
        </w:tc>
        <w:tc>
          <w:tcPr>
            <w:tcW w:w="1302" w:type="dxa"/>
          </w:tcPr>
          <w:p w:rsidR="003572C2" w:rsidRPr="0097142E" w:rsidRDefault="003572C2" w:rsidP="004F4C69">
            <w:pPr>
              <w:pStyle w:val="ListBullet"/>
              <w:numPr>
                <w:ilvl w:val="0"/>
                <w:numId w:val="0"/>
              </w:numPr>
              <w:rPr>
                <w:sz w:val="20"/>
                <w:szCs w:val="20"/>
              </w:rPr>
            </w:pPr>
            <w:r w:rsidRPr="0097142E">
              <w:rPr>
                <w:sz w:val="20"/>
                <w:szCs w:val="20"/>
              </w:rPr>
              <w:t>Memory capacity</w:t>
            </w:r>
          </w:p>
        </w:tc>
      </w:tr>
      <w:tr w:rsidR="003572C2" w:rsidTr="004A3D24">
        <w:tc>
          <w:tcPr>
            <w:tcW w:w="1764" w:type="dxa"/>
            <w:shd w:val="clear" w:color="auto" w:fill="CCC0D9" w:themeFill="accent4" w:themeFillTint="66"/>
          </w:tcPr>
          <w:p w:rsidR="00162E68" w:rsidRDefault="003572C2" w:rsidP="00953B38">
            <w:pPr>
              <w:pStyle w:val="ListBullet"/>
              <w:numPr>
                <w:ilvl w:val="0"/>
                <w:numId w:val="0"/>
              </w:numPr>
            </w:pPr>
            <w:r>
              <w:rPr>
                <w:rFonts w:eastAsiaTheme="minorHAnsi" w:cs="Arial"/>
                <w:bCs/>
                <w:sz w:val="16"/>
                <w:szCs w:val="16"/>
              </w:rPr>
              <w:t xml:space="preserve"> </w:t>
            </w:r>
          </w:p>
        </w:tc>
        <w:tc>
          <w:tcPr>
            <w:tcW w:w="1817" w:type="dxa"/>
          </w:tcPr>
          <w:p w:rsidR="00162E68" w:rsidRPr="0097142E" w:rsidRDefault="003572C2" w:rsidP="003572C2">
            <w:pPr>
              <w:pStyle w:val="ListBullet"/>
              <w:numPr>
                <w:ilvl w:val="0"/>
                <w:numId w:val="0"/>
              </w:numPr>
              <w:rPr>
                <w:sz w:val="20"/>
                <w:szCs w:val="20"/>
              </w:rPr>
            </w:pPr>
            <w:r w:rsidRPr="0097142E">
              <w:rPr>
                <w:sz w:val="20"/>
                <w:szCs w:val="20"/>
              </w:rPr>
              <w:t>Weight and size of product</w:t>
            </w:r>
          </w:p>
        </w:tc>
        <w:tc>
          <w:tcPr>
            <w:tcW w:w="1480" w:type="dxa"/>
          </w:tcPr>
          <w:p w:rsidR="00162E68" w:rsidRPr="0097142E" w:rsidRDefault="003572C2" w:rsidP="004F4C69">
            <w:pPr>
              <w:pStyle w:val="ListBullet"/>
              <w:numPr>
                <w:ilvl w:val="0"/>
                <w:numId w:val="0"/>
              </w:numPr>
              <w:rPr>
                <w:sz w:val="20"/>
                <w:szCs w:val="20"/>
              </w:rPr>
            </w:pPr>
            <w:r w:rsidRPr="0097142E">
              <w:rPr>
                <w:sz w:val="20"/>
                <w:szCs w:val="20"/>
              </w:rPr>
              <w:t>Measurement range, ability to flag control results, pre and post prandial results?</w:t>
            </w:r>
          </w:p>
          <w:p w:rsidR="0097142E" w:rsidRPr="0097142E" w:rsidRDefault="0097142E" w:rsidP="004F4C69">
            <w:pPr>
              <w:pStyle w:val="ListBullet"/>
              <w:numPr>
                <w:ilvl w:val="0"/>
                <w:numId w:val="0"/>
              </w:numPr>
              <w:rPr>
                <w:sz w:val="20"/>
                <w:szCs w:val="20"/>
              </w:rPr>
            </w:pPr>
          </w:p>
        </w:tc>
        <w:tc>
          <w:tcPr>
            <w:tcW w:w="1364" w:type="dxa"/>
          </w:tcPr>
          <w:p w:rsidR="00162E68" w:rsidRPr="0097142E" w:rsidRDefault="003572C2" w:rsidP="004F4C69">
            <w:pPr>
              <w:pStyle w:val="ListBullet"/>
              <w:numPr>
                <w:ilvl w:val="0"/>
                <w:numId w:val="0"/>
              </w:numPr>
              <w:rPr>
                <w:sz w:val="20"/>
                <w:szCs w:val="20"/>
              </w:rPr>
            </w:pPr>
            <w:r w:rsidRPr="0097142E">
              <w:rPr>
                <w:sz w:val="20"/>
                <w:szCs w:val="20"/>
              </w:rPr>
              <w:t>Operating temperature range</w:t>
            </w:r>
          </w:p>
        </w:tc>
        <w:tc>
          <w:tcPr>
            <w:tcW w:w="1480" w:type="dxa"/>
          </w:tcPr>
          <w:p w:rsidR="00162E68" w:rsidRPr="0097142E" w:rsidRDefault="003572C2" w:rsidP="004F4C69">
            <w:pPr>
              <w:pStyle w:val="ListBullet"/>
              <w:numPr>
                <w:ilvl w:val="0"/>
                <w:numId w:val="0"/>
              </w:numPr>
              <w:rPr>
                <w:sz w:val="20"/>
                <w:szCs w:val="20"/>
              </w:rPr>
            </w:pPr>
            <w:r w:rsidRPr="0097142E">
              <w:rPr>
                <w:sz w:val="20"/>
                <w:szCs w:val="20"/>
              </w:rPr>
              <w:t>Device and strip storage conditions</w:t>
            </w:r>
          </w:p>
        </w:tc>
        <w:tc>
          <w:tcPr>
            <w:tcW w:w="1302" w:type="dxa"/>
          </w:tcPr>
          <w:p w:rsidR="00162E68" w:rsidRPr="0097142E" w:rsidRDefault="0097142E" w:rsidP="004F4C69">
            <w:pPr>
              <w:pStyle w:val="ListBullet"/>
              <w:numPr>
                <w:ilvl w:val="0"/>
                <w:numId w:val="0"/>
              </w:numPr>
              <w:rPr>
                <w:sz w:val="20"/>
                <w:szCs w:val="20"/>
              </w:rPr>
            </w:pPr>
            <w:r w:rsidRPr="0097142E">
              <w:rPr>
                <w:sz w:val="20"/>
                <w:szCs w:val="20"/>
              </w:rPr>
              <w:t>Alarm reminders?</w:t>
            </w:r>
          </w:p>
        </w:tc>
      </w:tr>
      <w:tr w:rsidR="003572C2" w:rsidTr="004A3D24">
        <w:tc>
          <w:tcPr>
            <w:tcW w:w="1764" w:type="dxa"/>
            <w:shd w:val="clear" w:color="auto" w:fill="CCC0D9" w:themeFill="accent4" w:themeFillTint="66"/>
          </w:tcPr>
          <w:p w:rsidR="00162E68" w:rsidRDefault="00162E68" w:rsidP="004F4C69">
            <w:pPr>
              <w:pStyle w:val="ListBullet"/>
              <w:numPr>
                <w:ilvl w:val="0"/>
                <w:numId w:val="0"/>
              </w:numPr>
            </w:pPr>
          </w:p>
        </w:tc>
        <w:tc>
          <w:tcPr>
            <w:tcW w:w="1817" w:type="dxa"/>
          </w:tcPr>
          <w:p w:rsidR="00162E68" w:rsidRPr="0097142E" w:rsidRDefault="0097142E" w:rsidP="004F4C69">
            <w:pPr>
              <w:pStyle w:val="ListBullet"/>
              <w:numPr>
                <w:ilvl w:val="0"/>
                <w:numId w:val="0"/>
              </w:numPr>
              <w:rPr>
                <w:sz w:val="20"/>
                <w:szCs w:val="20"/>
              </w:rPr>
            </w:pPr>
            <w:r>
              <w:rPr>
                <w:rFonts w:eastAsiaTheme="minorHAnsi" w:cs="Arial"/>
                <w:bCs/>
                <w:sz w:val="20"/>
                <w:szCs w:val="20"/>
              </w:rPr>
              <w:t>M</w:t>
            </w:r>
            <w:r w:rsidRPr="0097142E">
              <w:rPr>
                <w:rFonts w:eastAsiaTheme="minorHAnsi" w:cs="Arial"/>
                <w:bCs/>
                <w:sz w:val="20"/>
                <w:szCs w:val="20"/>
              </w:rPr>
              <w:t>eter free to patient, batteries free to patient, control solution free to patients</w:t>
            </w:r>
          </w:p>
        </w:tc>
        <w:tc>
          <w:tcPr>
            <w:tcW w:w="1480" w:type="dxa"/>
          </w:tcPr>
          <w:p w:rsidR="00162E68" w:rsidRPr="0097142E" w:rsidRDefault="0097142E" w:rsidP="004F4C69">
            <w:pPr>
              <w:pStyle w:val="ListBullet"/>
              <w:numPr>
                <w:ilvl w:val="0"/>
                <w:numId w:val="0"/>
              </w:numPr>
              <w:rPr>
                <w:sz w:val="20"/>
                <w:szCs w:val="20"/>
              </w:rPr>
            </w:pPr>
            <w:r>
              <w:rPr>
                <w:sz w:val="20"/>
                <w:szCs w:val="20"/>
              </w:rPr>
              <w:t>PC download available</w:t>
            </w:r>
          </w:p>
        </w:tc>
        <w:tc>
          <w:tcPr>
            <w:tcW w:w="1364" w:type="dxa"/>
          </w:tcPr>
          <w:p w:rsidR="00162E68" w:rsidRPr="002A7E7B" w:rsidRDefault="002A7E7B" w:rsidP="004F4C69">
            <w:pPr>
              <w:pStyle w:val="ListBullet"/>
              <w:numPr>
                <w:ilvl w:val="0"/>
                <w:numId w:val="0"/>
              </w:numPr>
              <w:rPr>
                <w:sz w:val="20"/>
                <w:szCs w:val="20"/>
              </w:rPr>
            </w:pPr>
            <w:r w:rsidRPr="002A7E7B">
              <w:rPr>
                <w:rFonts w:eastAsiaTheme="minorHAnsi" w:cs="Arial"/>
                <w:bCs/>
                <w:sz w:val="20"/>
                <w:szCs w:val="20"/>
              </w:rPr>
              <w:t>Ketone warning if glucose high</w:t>
            </w:r>
          </w:p>
        </w:tc>
        <w:tc>
          <w:tcPr>
            <w:tcW w:w="1480" w:type="dxa"/>
          </w:tcPr>
          <w:p w:rsidR="00162E68" w:rsidRPr="002A7E7B" w:rsidRDefault="002A7E7B" w:rsidP="004F4C69">
            <w:pPr>
              <w:pStyle w:val="ListBullet"/>
              <w:numPr>
                <w:ilvl w:val="0"/>
                <w:numId w:val="0"/>
              </w:numPr>
              <w:rPr>
                <w:sz w:val="20"/>
                <w:szCs w:val="20"/>
              </w:rPr>
            </w:pPr>
            <w:r>
              <w:rPr>
                <w:rFonts w:eastAsiaTheme="minorHAnsi" w:cs="Arial"/>
                <w:bCs/>
                <w:sz w:val="20"/>
                <w:szCs w:val="20"/>
              </w:rPr>
              <w:t>P</w:t>
            </w:r>
            <w:r w:rsidRPr="002A7E7B">
              <w:rPr>
                <w:rFonts w:eastAsiaTheme="minorHAnsi" w:cs="Arial"/>
                <w:bCs/>
                <w:sz w:val="20"/>
                <w:szCs w:val="20"/>
              </w:rPr>
              <w:t>atient helpline, educational material supplied</w:t>
            </w:r>
          </w:p>
        </w:tc>
        <w:tc>
          <w:tcPr>
            <w:tcW w:w="1302" w:type="dxa"/>
          </w:tcPr>
          <w:p w:rsidR="00162E68" w:rsidRPr="00953B38" w:rsidRDefault="00953B38" w:rsidP="004F4C69">
            <w:pPr>
              <w:pStyle w:val="ListBullet"/>
              <w:numPr>
                <w:ilvl w:val="0"/>
                <w:numId w:val="0"/>
              </w:numPr>
              <w:rPr>
                <w:sz w:val="20"/>
                <w:szCs w:val="20"/>
              </w:rPr>
            </w:pPr>
            <w:r w:rsidRPr="00953B38">
              <w:rPr>
                <w:rFonts w:eastAsiaTheme="minorHAnsi" w:cs="Arial"/>
                <w:bCs/>
                <w:sz w:val="20"/>
                <w:szCs w:val="20"/>
              </w:rPr>
              <w:t>Ability to self-eject strip (hands free once used)</w:t>
            </w:r>
          </w:p>
        </w:tc>
      </w:tr>
    </w:tbl>
    <w:p w:rsidR="0049204E" w:rsidRDefault="0049204E" w:rsidP="004F4C69">
      <w:pPr>
        <w:pStyle w:val="ListBullet"/>
        <w:numPr>
          <w:ilvl w:val="0"/>
          <w:numId w:val="0"/>
        </w:numPr>
        <w:ind w:left="641"/>
      </w:pPr>
    </w:p>
    <w:p w:rsidR="00E741BE" w:rsidRDefault="00E741BE" w:rsidP="0049204E">
      <w:pPr>
        <w:rPr>
          <w:b/>
          <w:sz w:val="28"/>
          <w:szCs w:val="28"/>
        </w:rPr>
      </w:pPr>
    </w:p>
    <w:p w:rsidR="00E741BE" w:rsidRDefault="00E741BE" w:rsidP="0049204E">
      <w:pPr>
        <w:rPr>
          <w:b/>
          <w:sz w:val="28"/>
          <w:szCs w:val="28"/>
        </w:rPr>
      </w:pPr>
    </w:p>
    <w:p w:rsidR="00E741BE" w:rsidRDefault="00E741BE" w:rsidP="0049204E">
      <w:pPr>
        <w:rPr>
          <w:b/>
          <w:sz w:val="28"/>
          <w:szCs w:val="28"/>
        </w:rPr>
      </w:pPr>
    </w:p>
    <w:p w:rsidR="00E741BE" w:rsidRDefault="00E741BE" w:rsidP="0049204E">
      <w:pPr>
        <w:rPr>
          <w:b/>
          <w:sz w:val="28"/>
          <w:szCs w:val="28"/>
        </w:rPr>
      </w:pPr>
    </w:p>
    <w:p w:rsidR="0049204E" w:rsidRDefault="00D10C31" w:rsidP="0049204E">
      <w:pPr>
        <w:rPr>
          <w:b/>
          <w:sz w:val="28"/>
          <w:szCs w:val="28"/>
        </w:rPr>
      </w:pPr>
      <w:r w:rsidRPr="00D10C31">
        <w:rPr>
          <w:b/>
          <w:sz w:val="28"/>
          <w:szCs w:val="28"/>
        </w:rPr>
        <w:lastRenderedPageBreak/>
        <w:t>Insulin Pen needles</w:t>
      </w:r>
    </w:p>
    <w:p w:rsidR="003D564F" w:rsidRPr="00A70D9C" w:rsidRDefault="003D564F" w:rsidP="003D564F">
      <w:pPr>
        <w:autoSpaceDE w:val="0"/>
        <w:autoSpaceDN w:val="0"/>
        <w:adjustRightInd w:val="0"/>
        <w:spacing w:after="0"/>
        <w:rPr>
          <w:rFonts w:eastAsia="MS PGothic" w:cs="Arial"/>
          <w:lang w:eastAsia="en-GB"/>
        </w:rPr>
      </w:pPr>
      <w:r w:rsidRPr="00A70D9C">
        <w:rPr>
          <w:rFonts w:eastAsia="MS PGothic" w:cs="Arial"/>
          <w:lang w:eastAsia="en-GB"/>
        </w:rPr>
        <w:t>Using the correct injection technique and right needle length can minimize the risk of injecting intramuscularly, and reduce day-to-day variation in insulin absorption.</w:t>
      </w:r>
    </w:p>
    <w:p w:rsidR="00DD4385" w:rsidRDefault="00C7529B" w:rsidP="00DD4385">
      <w:pPr>
        <w:autoSpaceDE w:val="0"/>
        <w:autoSpaceDN w:val="0"/>
        <w:adjustRightInd w:val="0"/>
        <w:spacing w:after="0"/>
        <w:rPr>
          <w:rFonts w:eastAsia="MS PGothic" w:cs="Arial"/>
          <w:lang w:eastAsia="en-GB"/>
        </w:rPr>
      </w:pPr>
      <w:r w:rsidRPr="00A70D9C">
        <w:t xml:space="preserve">No patients should require 12mm, consider rationalising onto </w:t>
      </w:r>
      <w:r w:rsidRPr="00A70D9C">
        <w:rPr>
          <w:b/>
        </w:rPr>
        <w:t>8mm or less</w:t>
      </w:r>
      <w:r w:rsidR="0052131F" w:rsidRPr="00A70D9C">
        <w:rPr>
          <w:b/>
        </w:rPr>
        <w:t xml:space="preserve"> (6mm or less for children and adolescents)</w:t>
      </w:r>
      <w:r w:rsidRPr="00A70D9C">
        <w:t xml:space="preserve"> and choose product with universal </w:t>
      </w:r>
      <w:r w:rsidRPr="00A70D9C">
        <w:rPr>
          <w:rFonts w:cs="Arial"/>
        </w:rPr>
        <w:t>compatibility, established safety and quality track record, and competitive price structure.</w:t>
      </w:r>
      <w:r w:rsidR="00651113" w:rsidRPr="00A70D9C">
        <w:rPr>
          <w:rFonts w:cs="Arial"/>
        </w:rPr>
        <w:t xml:space="preserve"> </w:t>
      </w:r>
      <w:r w:rsidR="00A70D9C">
        <w:rPr>
          <w:rFonts w:cs="Arial"/>
        </w:rPr>
        <w:t xml:space="preserve"> </w:t>
      </w:r>
      <w:r w:rsidR="00DD4385" w:rsidRPr="00A70D9C">
        <w:rPr>
          <w:rFonts w:eastAsia="MS PGothic" w:cs="Arial"/>
          <w:lang w:eastAsia="en-GB"/>
        </w:rPr>
        <w:t>Recent research assuages concerns regarding shorter needle length, demonstrating that 4 to 5 mm insulin pen needles enter subcutaneous tissue with minimal risk of intramuscular injection and no additional leakage, even in obese patients.</w:t>
      </w:r>
    </w:p>
    <w:p w:rsidR="00A70D9C" w:rsidRPr="00A70D9C" w:rsidRDefault="00A70D9C" w:rsidP="00DD4385">
      <w:pPr>
        <w:autoSpaceDE w:val="0"/>
        <w:autoSpaceDN w:val="0"/>
        <w:adjustRightInd w:val="0"/>
        <w:spacing w:after="0"/>
        <w:rPr>
          <w:rFonts w:eastAsia="MS PGothic" w:cs="Arial"/>
          <w:lang w:eastAsia="en-GB"/>
        </w:rPr>
      </w:pPr>
    </w:p>
    <w:p w:rsidR="007E1FF8" w:rsidRPr="00A70D9C" w:rsidRDefault="00651113" w:rsidP="0049204E">
      <w:r w:rsidRPr="00A70D9C">
        <w:t xml:space="preserve">Consider the place of safety needles with auto retract for needle stick injury protection of HCPs administering insulin. </w:t>
      </w:r>
      <w:r w:rsidR="002933E5" w:rsidRPr="00A70D9C">
        <w:t xml:space="preserve"> </w:t>
      </w:r>
    </w:p>
    <w:p w:rsidR="00C7529B" w:rsidRPr="00A70D9C" w:rsidRDefault="002933E5" w:rsidP="0049204E">
      <w:r w:rsidRPr="00A70D9C">
        <w:t>See Current drug tariff:</w:t>
      </w:r>
    </w:p>
    <w:p w:rsidR="002933E5" w:rsidRPr="00A70D9C" w:rsidRDefault="00C1416E" w:rsidP="0049204E">
      <w:hyperlink r:id="rId15" w:history="1">
        <w:r w:rsidR="007E1FF8" w:rsidRPr="00A70D9C">
          <w:rPr>
            <w:rStyle w:val="Hyperlink"/>
          </w:rPr>
          <w:t>http://www.ppa.org.uk/edt/February_2015/min</w:t>
        </w:r>
      </w:hyperlink>
      <w:r w:rsidR="007E1FF8" w:rsidRPr="00A70D9C">
        <w:t xml:space="preserve"> or RDTC Cost comparison charts: http://rdtc.nhs.uk/sites/default/files/cost_comparison_charts_-_april_2015.pdf</w:t>
      </w:r>
    </w:p>
    <w:p w:rsidR="002933E5" w:rsidRDefault="00E80038" w:rsidP="00E80038">
      <w:pPr>
        <w:jc w:val="center"/>
        <w:rPr>
          <w:sz w:val="20"/>
          <w:szCs w:val="20"/>
        </w:rPr>
      </w:pPr>
      <w:r>
        <w:rPr>
          <w:noProof/>
          <w:lang w:eastAsia="en-GB"/>
        </w:rPr>
        <w:lastRenderedPageBreak/>
        <w:drawing>
          <wp:inline distT="0" distB="0" distL="0" distR="0" wp14:anchorId="0C439909" wp14:editId="18529682">
            <wp:extent cx="5706110" cy="8229600"/>
            <wp:effectExtent l="0" t="0" r="2794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3282" w:rsidRDefault="00AC3282" w:rsidP="0049204E">
      <w:pPr>
        <w:rPr>
          <w:sz w:val="20"/>
          <w:szCs w:val="20"/>
        </w:rPr>
      </w:pPr>
    </w:p>
    <w:p w:rsidR="00AC3282" w:rsidRDefault="00AC3282" w:rsidP="0049204E">
      <w:pPr>
        <w:rPr>
          <w:sz w:val="20"/>
          <w:szCs w:val="20"/>
        </w:rPr>
      </w:pPr>
    </w:p>
    <w:p w:rsidR="002F0370" w:rsidRDefault="002F0370">
      <w:pPr>
        <w:spacing w:after="0"/>
        <w:rPr>
          <w:b/>
          <w:sz w:val="28"/>
          <w:szCs w:val="28"/>
        </w:rPr>
      </w:pPr>
      <w:r>
        <w:rPr>
          <w:b/>
          <w:sz w:val="28"/>
          <w:szCs w:val="28"/>
        </w:rPr>
        <w:br w:type="page"/>
      </w:r>
    </w:p>
    <w:p w:rsidR="00D10C31" w:rsidRDefault="00D10C31" w:rsidP="0049204E">
      <w:pPr>
        <w:rPr>
          <w:b/>
          <w:sz w:val="28"/>
          <w:szCs w:val="28"/>
        </w:rPr>
      </w:pPr>
      <w:r>
        <w:rPr>
          <w:b/>
          <w:sz w:val="28"/>
          <w:szCs w:val="28"/>
        </w:rPr>
        <w:lastRenderedPageBreak/>
        <w:t>Lancets</w:t>
      </w:r>
      <w:r w:rsidR="00EA21AD">
        <w:rPr>
          <w:b/>
          <w:sz w:val="28"/>
          <w:szCs w:val="28"/>
        </w:rPr>
        <w:t xml:space="preserve"> </w:t>
      </w:r>
    </w:p>
    <w:p w:rsidR="00EA21AD" w:rsidRPr="00EA21AD" w:rsidRDefault="00EA21AD" w:rsidP="0049204E">
      <w:pPr>
        <w:rPr>
          <w:b/>
          <w:color w:val="4F81BD" w:themeColor="accent1"/>
          <w:sz w:val="28"/>
          <w:szCs w:val="28"/>
        </w:rPr>
      </w:pPr>
      <w:r w:rsidRPr="00EA21AD">
        <w:rPr>
          <w:b/>
          <w:color w:val="4F81BD" w:themeColor="accent1"/>
          <w:sz w:val="28"/>
          <w:szCs w:val="28"/>
        </w:rPr>
        <w:t>http://rdtc.nhs.uk/sites/default/files/cost_comparison_charts_-_april_2015.pdf</w:t>
      </w:r>
    </w:p>
    <w:p w:rsidR="00C7529B" w:rsidRDefault="00C1416E" w:rsidP="0049204E">
      <w:pPr>
        <w:rPr>
          <w:rStyle w:val="Hyperlink"/>
          <w:b/>
          <w:sz w:val="28"/>
          <w:szCs w:val="28"/>
        </w:rPr>
      </w:pPr>
      <w:hyperlink r:id="rId17" w:history="1">
        <w:r w:rsidR="00C7529B" w:rsidRPr="00BA3FAC">
          <w:rPr>
            <w:rStyle w:val="Hyperlink"/>
            <w:b/>
            <w:sz w:val="28"/>
            <w:szCs w:val="28"/>
          </w:rPr>
          <w:t>http://www.ppa.org.uk/edt/February_2015/mindex.htm</w:t>
        </w:r>
      </w:hyperlink>
    </w:p>
    <w:tbl>
      <w:tblPr>
        <w:tblW w:w="8240" w:type="dxa"/>
        <w:jc w:val="center"/>
        <w:tblInd w:w="93" w:type="dxa"/>
        <w:tblLook w:val="04A0" w:firstRow="1" w:lastRow="0" w:firstColumn="1" w:lastColumn="0" w:noHBand="0" w:noVBand="1"/>
      </w:tblPr>
      <w:tblGrid>
        <w:gridCol w:w="3440"/>
        <w:gridCol w:w="480"/>
        <w:gridCol w:w="480"/>
        <w:gridCol w:w="480"/>
        <w:gridCol w:w="480"/>
        <w:gridCol w:w="480"/>
        <w:gridCol w:w="480"/>
        <w:gridCol w:w="480"/>
        <w:gridCol w:w="480"/>
        <w:gridCol w:w="480"/>
        <w:gridCol w:w="480"/>
      </w:tblGrid>
      <w:tr w:rsidR="00EA21AD" w:rsidRPr="00EA21AD" w:rsidTr="00454D48">
        <w:trPr>
          <w:trHeight w:val="255"/>
          <w:jc w:val="center"/>
        </w:trPr>
        <w:tc>
          <w:tcPr>
            <w:tcW w:w="7760" w:type="dxa"/>
            <w:gridSpan w:val="10"/>
            <w:tcBorders>
              <w:top w:val="single" w:sz="4" w:space="0" w:color="000000"/>
              <w:left w:val="single" w:sz="4" w:space="0" w:color="000000"/>
              <w:bottom w:val="single" w:sz="4" w:space="0" w:color="000000"/>
              <w:right w:val="nil"/>
            </w:tcBorders>
            <w:shd w:val="clear" w:color="auto" w:fill="auto"/>
            <w:vAlign w:val="center"/>
            <w:hideMark/>
          </w:tcPr>
          <w:p w:rsidR="00EA21AD" w:rsidRPr="00EA21AD" w:rsidRDefault="00EA21AD" w:rsidP="00EA21AD">
            <w:pPr>
              <w:spacing w:after="0"/>
              <w:jc w:val="center"/>
              <w:rPr>
                <w:rFonts w:cs="Arial"/>
                <w:b/>
                <w:bCs/>
                <w:sz w:val="20"/>
                <w:szCs w:val="20"/>
                <w:lang w:eastAsia="en-GB"/>
              </w:rPr>
            </w:pPr>
            <w:r w:rsidRPr="00EA21AD">
              <w:rPr>
                <w:rFonts w:cs="Arial"/>
                <w:b/>
                <w:bCs/>
                <w:sz w:val="20"/>
                <w:szCs w:val="20"/>
                <w:lang w:eastAsia="en-GB"/>
              </w:rPr>
              <w:t xml:space="preserve">Finger </w:t>
            </w:r>
            <w:proofErr w:type="spellStart"/>
            <w:r w:rsidRPr="00EA21AD">
              <w:rPr>
                <w:rFonts w:cs="Arial"/>
                <w:b/>
                <w:bCs/>
                <w:sz w:val="20"/>
                <w:szCs w:val="20"/>
                <w:lang w:eastAsia="en-GB"/>
              </w:rPr>
              <w:t>Prickers</w:t>
            </w:r>
            <w:proofErr w:type="spellEnd"/>
            <w:r w:rsidRPr="00EA21AD">
              <w:rPr>
                <w:rFonts w:cs="Arial"/>
                <w:b/>
                <w:bCs/>
                <w:sz w:val="20"/>
                <w:szCs w:val="20"/>
                <w:lang w:eastAsia="en-GB"/>
              </w:rPr>
              <w:t xml:space="preserve"> and Compatible Lancets</w:t>
            </w:r>
          </w:p>
        </w:tc>
        <w:tc>
          <w:tcPr>
            <w:tcW w:w="480" w:type="dxa"/>
            <w:tcBorders>
              <w:top w:val="nil"/>
              <w:left w:val="nil"/>
              <w:bottom w:val="nil"/>
              <w:right w:val="nil"/>
            </w:tcBorders>
            <w:shd w:val="clear" w:color="auto" w:fill="auto"/>
            <w:noWrap/>
            <w:vAlign w:val="bottom"/>
            <w:hideMark/>
          </w:tcPr>
          <w:p w:rsidR="00EA21AD" w:rsidRPr="00EA21AD" w:rsidRDefault="00EA21AD" w:rsidP="00EA21AD">
            <w:pPr>
              <w:spacing w:after="0"/>
              <w:rPr>
                <w:rFonts w:cs="Arial"/>
                <w:sz w:val="20"/>
                <w:szCs w:val="20"/>
                <w:lang w:eastAsia="en-GB"/>
              </w:rPr>
            </w:pPr>
          </w:p>
        </w:tc>
      </w:tr>
      <w:tr w:rsidR="00EA21AD" w:rsidRPr="00EA21AD" w:rsidTr="00454D48">
        <w:trPr>
          <w:trHeight w:val="2640"/>
          <w:jc w:val="center"/>
        </w:trPr>
        <w:tc>
          <w:tcPr>
            <w:tcW w:w="3440" w:type="dxa"/>
            <w:tcBorders>
              <w:top w:val="nil"/>
              <w:left w:val="nil"/>
              <w:bottom w:val="nil"/>
              <w:right w:val="nil"/>
            </w:tcBorders>
            <w:shd w:val="clear" w:color="000000" w:fill="C0C0C0"/>
            <w:noWrap/>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single" w:sz="4" w:space="0" w:color="000000"/>
              <w:bottom w:val="single" w:sz="4" w:space="0" w:color="000000"/>
              <w:right w:val="single" w:sz="4" w:space="0" w:color="000000"/>
            </w:tcBorders>
            <w:shd w:val="clear" w:color="000000" w:fill="C0C0C0"/>
            <w:textDirection w:val="btLr"/>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Autolet</w:t>
            </w:r>
            <w:proofErr w:type="spellEnd"/>
            <w:r w:rsidRPr="00EA21AD">
              <w:rPr>
                <w:rFonts w:cs="Arial"/>
                <w:b/>
                <w:bCs/>
                <w:sz w:val="20"/>
                <w:szCs w:val="20"/>
                <w:lang w:eastAsia="en-GB"/>
              </w:rPr>
              <w:t xml:space="preserve"> Lancet</w:t>
            </w:r>
          </w:p>
        </w:tc>
        <w:tc>
          <w:tcPr>
            <w:tcW w:w="480" w:type="dxa"/>
            <w:tcBorders>
              <w:top w:val="nil"/>
              <w:left w:val="nil"/>
              <w:bottom w:val="single" w:sz="4" w:space="0" w:color="000000"/>
              <w:right w:val="single" w:sz="4" w:space="0" w:color="000000"/>
            </w:tcBorders>
            <w:shd w:val="clear" w:color="000000" w:fill="C0C0C0"/>
            <w:textDirection w:val="btLr"/>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Autolet</w:t>
            </w:r>
            <w:proofErr w:type="spellEnd"/>
            <w:r w:rsidRPr="00EA21AD">
              <w:rPr>
                <w:rFonts w:cs="Arial"/>
                <w:b/>
                <w:bCs/>
                <w:sz w:val="20"/>
                <w:szCs w:val="20"/>
                <w:lang w:eastAsia="en-GB"/>
              </w:rPr>
              <w:t xml:space="preserve"> Impression</w:t>
            </w:r>
          </w:p>
        </w:tc>
        <w:tc>
          <w:tcPr>
            <w:tcW w:w="480" w:type="dxa"/>
            <w:tcBorders>
              <w:top w:val="nil"/>
              <w:left w:val="nil"/>
              <w:bottom w:val="single" w:sz="4" w:space="0" w:color="000000"/>
              <w:right w:val="single" w:sz="4" w:space="0" w:color="000000"/>
            </w:tcBorders>
            <w:shd w:val="clear" w:color="000000" w:fill="C0C0C0"/>
            <w:textDirection w:val="btLr"/>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Glucolet</w:t>
            </w:r>
            <w:proofErr w:type="spellEnd"/>
            <w:r w:rsidRPr="00EA21AD">
              <w:rPr>
                <w:rFonts w:cs="Arial"/>
                <w:b/>
                <w:bCs/>
                <w:sz w:val="20"/>
                <w:szCs w:val="20"/>
                <w:lang w:eastAsia="en-GB"/>
              </w:rPr>
              <w:t xml:space="preserve"> Dual S</w:t>
            </w:r>
          </w:p>
        </w:tc>
        <w:tc>
          <w:tcPr>
            <w:tcW w:w="480" w:type="dxa"/>
            <w:tcBorders>
              <w:top w:val="nil"/>
              <w:left w:val="nil"/>
              <w:bottom w:val="single" w:sz="4" w:space="0" w:color="000000"/>
              <w:right w:val="single" w:sz="4" w:space="0" w:color="000000"/>
            </w:tcBorders>
            <w:shd w:val="clear" w:color="000000" w:fill="C0C0C0"/>
            <w:textDirection w:val="btLr"/>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Microlet</w:t>
            </w:r>
            <w:proofErr w:type="spellEnd"/>
          </w:p>
        </w:tc>
        <w:tc>
          <w:tcPr>
            <w:tcW w:w="480" w:type="dxa"/>
            <w:tcBorders>
              <w:top w:val="nil"/>
              <w:left w:val="nil"/>
              <w:bottom w:val="single" w:sz="4" w:space="0" w:color="000000"/>
              <w:right w:val="single" w:sz="4" w:space="0" w:color="000000"/>
            </w:tcBorders>
            <w:shd w:val="clear" w:color="000000" w:fill="C0C0C0"/>
            <w:textDirection w:val="btLr"/>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Monojector</w:t>
            </w:r>
            <w:proofErr w:type="spellEnd"/>
          </w:p>
        </w:tc>
        <w:tc>
          <w:tcPr>
            <w:tcW w:w="480" w:type="dxa"/>
            <w:tcBorders>
              <w:top w:val="nil"/>
              <w:left w:val="nil"/>
              <w:bottom w:val="single" w:sz="4" w:space="0" w:color="000000"/>
              <w:right w:val="single" w:sz="4" w:space="0" w:color="000000"/>
            </w:tcBorders>
            <w:shd w:val="clear" w:color="000000" w:fill="C0C0C0"/>
            <w:textDirection w:val="btLr"/>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Penlet</w:t>
            </w:r>
            <w:proofErr w:type="spellEnd"/>
            <w:r w:rsidRPr="00EA21AD">
              <w:rPr>
                <w:rFonts w:cs="Arial"/>
                <w:b/>
                <w:bCs/>
                <w:sz w:val="20"/>
                <w:szCs w:val="20"/>
                <w:lang w:eastAsia="en-GB"/>
              </w:rPr>
              <w:t xml:space="preserve"> II</w:t>
            </w:r>
          </w:p>
        </w:tc>
        <w:tc>
          <w:tcPr>
            <w:tcW w:w="480" w:type="dxa"/>
            <w:tcBorders>
              <w:top w:val="nil"/>
              <w:left w:val="nil"/>
              <w:bottom w:val="single" w:sz="4" w:space="0" w:color="000000"/>
              <w:right w:val="single" w:sz="4" w:space="0" w:color="000000"/>
            </w:tcBorders>
            <w:shd w:val="clear" w:color="000000" w:fill="C0C0C0"/>
            <w:textDirection w:val="btLr"/>
            <w:vAlign w:val="center"/>
            <w:hideMark/>
          </w:tcPr>
          <w:p w:rsidR="00EA21AD" w:rsidRPr="00EA21AD" w:rsidRDefault="00EA21AD" w:rsidP="00EA21AD">
            <w:pPr>
              <w:spacing w:after="0"/>
              <w:jc w:val="center"/>
              <w:rPr>
                <w:rFonts w:cs="Arial"/>
                <w:b/>
                <w:bCs/>
                <w:sz w:val="20"/>
                <w:szCs w:val="20"/>
                <w:lang w:eastAsia="en-GB"/>
              </w:rPr>
            </w:pPr>
            <w:r w:rsidRPr="00EA21AD">
              <w:rPr>
                <w:rFonts w:cs="Arial"/>
                <w:b/>
                <w:bCs/>
                <w:sz w:val="20"/>
                <w:szCs w:val="20"/>
                <w:lang w:eastAsia="en-GB"/>
              </w:rPr>
              <w:t>Prestige Smart System</w:t>
            </w:r>
          </w:p>
        </w:tc>
        <w:tc>
          <w:tcPr>
            <w:tcW w:w="480" w:type="dxa"/>
            <w:tcBorders>
              <w:top w:val="nil"/>
              <w:left w:val="nil"/>
              <w:bottom w:val="single" w:sz="4" w:space="0" w:color="000000"/>
              <w:right w:val="single" w:sz="4" w:space="0" w:color="000000"/>
            </w:tcBorders>
            <w:shd w:val="clear" w:color="000000" w:fill="C0C0C0"/>
            <w:textDirection w:val="btLr"/>
            <w:vAlign w:val="center"/>
            <w:hideMark/>
          </w:tcPr>
          <w:p w:rsidR="00EA21AD" w:rsidRPr="00EA21AD" w:rsidRDefault="00EA21AD" w:rsidP="00EA21AD">
            <w:pPr>
              <w:spacing w:after="0"/>
              <w:jc w:val="center"/>
              <w:rPr>
                <w:rFonts w:cs="Arial"/>
                <w:b/>
                <w:bCs/>
                <w:sz w:val="20"/>
                <w:szCs w:val="20"/>
                <w:lang w:eastAsia="en-GB"/>
              </w:rPr>
            </w:pPr>
            <w:r w:rsidRPr="00EA21AD">
              <w:rPr>
                <w:rFonts w:cs="Arial"/>
                <w:b/>
                <w:bCs/>
                <w:sz w:val="20"/>
                <w:szCs w:val="20"/>
                <w:lang w:eastAsia="en-GB"/>
              </w:rPr>
              <w:t>Soft Touch</w:t>
            </w:r>
          </w:p>
        </w:tc>
        <w:tc>
          <w:tcPr>
            <w:tcW w:w="480" w:type="dxa"/>
            <w:tcBorders>
              <w:top w:val="nil"/>
              <w:left w:val="nil"/>
              <w:bottom w:val="single" w:sz="4" w:space="0" w:color="000000"/>
              <w:right w:val="single" w:sz="4" w:space="0" w:color="000000"/>
            </w:tcBorders>
            <w:shd w:val="clear" w:color="000000" w:fill="C0C0C0"/>
            <w:textDirection w:val="btLr"/>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Vitrex</w:t>
            </w:r>
            <w:proofErr w:type="spellEnd"/>
            <w:r w:rsidRPr="00EA21AD">
              <w:rPr>
                <w:rFonts w:cs="Arial"/>
                <w:b/>
                <w:bCs/>
                <w:sz w:val="20"/>
                <w:szCs w:val="20"/>
                <w:lang w:eastAsia="en-GB"/>
              </w:rPr>
              <w:t xml:space="preserve"> Compact</w:t>
            </w:r>
          </w:p>
        </w:tc>
        <w:tc>
          <w:tcPr>
            <w:tcW w:w="480" w:type="dxa"/>
            <w:tcBorders>
              <w:top w:val="single" w:sz="4" w:space="0" w:color="000000"/>
              <w:left w:val="nil"/>
              <w:bottom w:val="single" w:sz="4" w:space="0" w:color="000000"/>
              <w:right w:val="single" w:sz="4" w:space="0" w:color="000000"/>
            </w:tcBorders>
            <w:shd w:val="clear" w:color="000000" w:fill="C0C0C0"/>
            <w:textDirection w:val="btLr"/>
            <w:vAlign w:val="center"/>
            <w:hideMark/>
          </w:tcPr>
          <w:p w:rsidR="00EA21AD" w:rsidRPr="00EA21AD" w:rsidRDefault="00EA21AD" w:rsidP="00EA21AD">
            <w:pPr>
              <w:spacing w:after="0"/>
              <w:jc w:val="center"/>
              <w:rPr>
                <w:rFonts w:cs="Arial"/>
                <w:b/>
                <w:bCs/>
                <w:sz w:val="20"/>
                <w:szCs w:val="20"/>
                <w:lang w:eastAsia="en-GB"/>
              </w:rPr>
            </w:pPr>
            <w:r w:rsidRPr="00EA21AD">
              <w:rPr>
                <w:rFonts w:cs="Arial"/>
                <w:b/>
                <w:bCs/>
                <w:sz w:val="20"/>
                <w:szCs w:val="20"/>
                <w:lang w:eastAsia="en-GB"/>
              </w:rPr>
              <w:t>UNIVERSAL</w:t>
            </w:r>
          </w:p>
        </w:tc>
      </w:tr>
      <w:tr w:rsidR="00EA21AD" w:rsidRPr="00EA21AD" w:rsidTr="00454D48">
        <w:trPr>
          <w:trHeight w:val="255"/>
          <w:jc w:val="center"/>
        </w:trPr>
        <w:tc>
          <w:tcPr>
            <w:tcW w:w="3440" w:type="dxa"/>
            <w:tcBorders>
              <w:top w:val="single" w:sz="4" w:space="0" w:color="000000"/>
              <w:left w:val="single" w:sz="4" w:space="0" w:color="000000"/>
              <w:bottom w:val="single" w:sz="4" w:space="0" w:color="000000"/>
              <w:right w:val="single" w:sz="4" w:space="0" w:color="000000"/>
            </w:tcBorders>
            <w:shd w:val="clear" w:color="000000" w:fill="99CC00"/>
            <w:vAlign w:val="center"/>
            <w:hideMark/>
          </w:tcPr>
          <w:p w:rsidR="00EA21AD" w:rsidRPr="00EA21AD" w:rsidRDefault="00EA21AD" w:rsidP="00EA21AD">
            <w:pPr>
              <w:spacing w:after="0"/>
              <w:jc w:val="center"/>
              <w:rPr>
                <w:rFonts w:cs="Arial"/>
                <w:b/>
                <w:bCs/>
                <w:sz w:val="20"/>
                <w:szCs w:val="20"/>
                <w:lang w:eastAsia="en-GB"/>
              </w:rPr>
            </w:pPr>
            <w:r w:rsidRPr="00EA21AD">
              <w:rPr>
                <w:rFonts w:cs="Arial"/>
                <w:b/>
                <w:bCs/>
                <w:sz w:val="20"/>
                <w:szCs w:val="20"/>
                <w:lang w:eastAsia="en-GB"/>
              </w:rPr>
              <w:t>Apollo Twist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339966"/>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 </w:t>
            </w:r>
          </w:p>
        </w:tc>
      </w:tr>
      <w:tr w:rsidR="00EA21AD" w:rsidRPr="00EA21AD" w:rsidTr="00454D48">
        <w:trPr>
          <w:trHeight w:val="255"/>
          <w:jc w:val="center"/>
        </w:trPr>
        <w:tc>
          <w:tcPr>
            <w:tcW w:w="3440" w:type="dxa"/>
            <w:tcBorders>
              <w:top w:val="nil"/>
              <w:left w:val="single" w:sz="4" w:space="0" w:color="000000"/>
              <w:bottom w:val="single" w:sz="4" w:space="0" w:color="000000"/>
              <w:right w:val="single" w:sz="4" w:space="0" w:color="000000"/>
            </w:tcBorders>
            <w:shd w:val="clear" w:color="000000" w:fill="99CC00"/>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Glucoject</w:t>
            </w:r>
            <w:proofErr w:type="spellEnd"/>
            <w:r w:rsidRPr="00EA21AD">
              <w:rPr>
                <w:rFonts w:cs="Arial"/>
                <w:b/>
                <w:bCs/>
                <w:sz w:val="20"/>
                <w:szCs w:val="20"/>
                <w:lang w:eastAsia="en-GB"/>
              </w:rPr>
              <w:t xml:space="preserve"> Lancets Plus</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339966"/>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 </w:t>
            </w:r>
          </w:p>
        </w:tc>
      </w:tr>
      <w:tr w:rsidR="00EA21AD" w:rsidRPr="00EA21AD" w:rsidTr="00454D48">
        <w:trPr>
          <w:trHeight w:val="255"/>
          <w:jc w:val="center"/>
        </w:trPr>
        <w:tc>
          <w:tcPr>
            <w:tcW w:w="3440" w:type="dxa"/>
            <w:tcBorders>
              <w:top w:val="nil"/>
              <w:left w:val="single" w:sz="4" w:space="0" w:color="000000"/>
              <w:bottom w:val="single" w:sz="4" w:space="0" w:color="000000"/>
              <w:right w:val="single" w:sz="4" w:space="0" w:color="000000"/>
            </w:tcBorders>
            <w:shd w:val="clear" w:color="000000" w:fill="99CC00"/>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Glucoject</w:t>
            </w:r>
            <w:proofErr w:type="spellEnd"/>
            <w:r w:rsidRPr="00EA21AD">
              <w:rPr>
                <w:rFonts w:cs="Arial"/>
                <w:b/>
                <w:bCs/>
                <w:sz w:val="20"/>
                <w:szCs w:val="20"/>
                <w:lang w:eastAsia="en-GB"/>
              </w:rPr>
              <w:t xml:space="preserve"> No-</w:t>
            </w:r>
            <w:proofErr w:type="spellStart"/>
            <w:r w:rsidRPr="00EA21AD">
              <w:rPr>
                <w:rFonts w:cs="Arial"/>
                <w:b/>
                <w:bCs/>
                <w:sz w:val="20"/>
                <w:szCs w:val="20"/>
                <w:lang w:eastAsia="en-GB"/>
              </w:rPr>
              <w:t>dol</w:t>
            </w:r>
            <w:proofErr w:type="spellEnd"/>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339966"/>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 </w:t>
            </w:r>
          </w:p>
        </w:tc>
      </w:tr>
      <w:tr w:rsidR="00EA21AD" w:rsidRPr="00EA21AD" w:rsidTr="00454D48">
        <w:trPr>
          <w:trHeight w:val="255"/>
          <w:jc w:val="center"/>
        </w:trPr>
        <w:tc>
          <w:tcPr>
            <w:tcW w:w="3440" w:type="dxa"/>
            <w:tcBorders>
              <w:top w:val="nil"/>
              <w:left w:val="single" w:sz="4" w:space="0" w:color="000000"/>
              <w:bottom w:val="single" w:sz="4" w:space="0" w:color="000000"/>
              <w:right w:val="single" w:sz="4" w:space="0" w:color="000000"/>
            </w:tcBorders>
            <w:shd w:val="clear" w:color="000000" w:fill="99CC00"/>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Unilet</w:t>
            </w:r>
            <w:proofErr w:type="spellEnd"/>
            <w:r w:rsidRPr="00EA21AD">
              <w:rPr>
                <w:rFonts w:cs="Arial"/>
                <w:b/>
                <w:bCs/>
                <w:sz w:val="20"/>
                <w:szCs w:val="20"/>
                <w:lang w:eastAsia="en-GB"/>
              </w:rPr>
              <w:t xml:space="preserve"> </w:t>
            </w:r>
            <w:proofErr w:type="spellStart"/>
            <w:r w:rsidRPr="00EA21AD">
              <w:rPr>
                <w:rFonts w:cs="Arial"/>
                <w:b/>
                <w:bCs/>
                <w:sz w:val="20"/>
                <w:szCs w:val="20"/>
                <w:lang w:eastAsia="en-GB"/>
              </w:rPr>
              <w:t>ComforTouch</w:t>
            </w:r>
            <w:proofErr w:type="spellEnd"/>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339966"/>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 </w:t>
            </w:r>
          </w:p>
        </w:tc>
      </w:tr>
      <w:tr w:rsidR="00EA21AD" w:rsidRPr="00EA21AD" w:rsidTr="00454D48">
        <w:trPr>
          <w:trHeight w:val="255"/>
          <w:jc w:val="center"/>
        </w:trPr>
        <w:tc>
          <w:tcPr>
            <w:tcW w:w="3440" w:type="dxa"/>
            <w:tcBorders>
              <w:top w:val="nil"/>
              <w:left w:val="single" w:sz="4" w:space="0" w:color="000000"/>
              <w:bottom w:val="single" w:sz="4" w:space="0" w:color="000000"/>
              <w:right w:val="single" w:sz="4" w:space="0" w:color="000000"/>
            </w:tcBorders>
            <w:shd w:val="clear" w:color="000000" w:fill="99CC00"/>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Unilet</w:t>
            </w:r>
            <w:proofErr w:type="spellEnd"/>
            <w:r w:rsidRPr="00EA21AD">
              <w:rPr>
                <w:rFonts w:cs="Arial"/>
                <w:b/>
                <w:bCs/>
                <w:sz w:val="20"/>
                <w:szCs w:val="20"/>
                <w:lang w:eastAsia="en-GB"/>
              </w:rPr>
              <w:t xml:space="preserve"> Eco</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339966"/>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 </w:t>
            </w:r>
          </w:p>
        </w:tc>
      </w:tr>
      <w:tr w:rsidR="00EA21AD" w:rsidRPr="00EA21AD" w:rsidTr="00454D48">
        <w:trPr>
          <w:trHeight w:val="270"/>
          <w:jc w:val="center"/>
        </w:trPr>
        <w:tc>
          <w:tcPr>
            <w:tcW w:w="3440" w:type="dxa"/>
            <w:tcBorders>
              <w:top w:val="nil"/>
              <w:left w:val="single" w:sz="4" w:space="0" w:color="000000"/>
              <w:bottom w:val="nil"/>
              <w:right w:val="single" w:sz="4" w:space="0" w:color="000000"/>
            </w:tcBorders>
            <w:shd w:val="clear" w:color="000000" w:fill="99CC00"/>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Unilet</w:t>
            </w:r>
            <w:proofErr w:type="spellEnd"/>
            <w:r w:rsidRPr="00EA21AD">
              <w:rPr>
                <w:rFonts w:cs="Arial"/>
                <w:b/>
                <w:bCs/>
                <w:sz w:val="20"/>
                <w:szCs w:val="20"/>
                <w:lang w:eastAsia="en-GB"/>
              </w:rPr>
              <w:t xml:space="preserve"> GP </w:t>
            </w:r>
            <w:proofErr w:type="spellStart"/>
            <w:r w:rsidRPr="00EA21AD">
              <w:rPr>
                <w:rFonts w:cs="Arial"/>
                <w:b/>
                <w:bCs/>
                <w:sz w:val="20"/>
                <w:szCs w:val="20"/>
                <w:lang w:eastAsia="en-GB"/>
              </w:rPr>
              <w:t>Superlite</w:t>
            </w:r>
            <w:proofErr w:type="spellEnd"/>
          </w:p>
        </w:tc>
        <w:tc>
          <w:tcPr>
            <w:tcW w:w="480" w:type="dxa"/>
            <w:tcBorders>
              <w:top w:val="nil"/>
              <w:left w:val="nil"/>
              <w:bottom w:val="nil"/>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nil"/>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nil"/>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nil"/>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nil"/>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nil"/>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nil"/>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nil"/>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nil"/>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nil"/>
              <w:right w:val="single" w:sz="4" w:space="0" w:color="000000"/>
            </w:tcBorders>
            <w:shd w:val="clear" w:color="auto" w:fill="339966"/>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 </w:t>
            </w:r>
          </w:p>
        </w:tc>
      </w:tr>
      <w:tr w:rsidR="00EA21AD" w:rsidRPr="00EA21AD" w:rsidTr="00454D48">
        <w:trPr>
          <w:trHeight w:val="270"/>
          <w:jc w:val="center"/>
        </w:trPr>
        <w:tc>
          <w:tcPr>
            <w:tcW w:w="3440" w:type="dxa"/>
            <w:tcBorders>
              <w:top w:val="double" w:sz="6" w:space="0" w:color="000000"/>
              <w:left w:val="single" w:sz="4" w:space="0" w:color="000000"/>
              <w:bottom w:val="single" w:sz="4" w:space="0" w:color="000000"/>
              <w:right w:val="single" w:sz="4" w:space="0" w:color="000000"/>
            </w:tcBorders>
            <w:shd w:val="clear" w:color="000000" w:fill="FF99CC"/>
            <w:vAlign w:val="center"/>
            <w:hideMark/>
          </w:tcPr>
          <w:p w:rsidR="00EA21AD" w:rsidRPr="00EA21AD" w:rsidRDefault="00EA21AD" w:rsidP="00EA21AD">
            <w:pPr>
              <w:spacing w:after="0"/>
              <w:jc w:val="center"/>
              <w:rPr>
                <w:rFonts w:cs="Arial"/>
                <w:b/>
                <w:bCs/>
                <w:sz w:val="20"/>
                <w:szCs w:val="20"/>
                <w:lang w:eastAsia="en-GB"/>
              </w:rPr>
            </w:pPr>
            <w:r w:rsidRPr="00EA21AD">
              <w:rPr>
                <w:rFonts w:cs="Arial"/>
                <w:b/>
                <w:bCs/>
                <w:sz w:val="20"/>
                <w:szCs w:val="20"/>
                <w:lang w:eastAsia="en-GB"/>
              </w:rPr>
              <w:t xml:space="preserve">BD </w:t>
            </w:r>
            <w:proofErr w:type="spellStart"/>
            <w:r w:rsidRPr="00EA21AD">
              <w:rPr>
                <w:rFonts w:cs="Arial"/>
                <w:b/>
                <w:bCs/>
                <w:sz w:val="20"/>
                <w:szCs w:val="20"/>
                <w:lang w:eastAsia="en-GB"/>
              </w:rPr>
              <w:t>Microfine</w:t>
            </w:r>
            <w:proofErr w:type="spellEnd"/>
            <w:r w:rsidRPr="00EA21AD">
              <w:rPr>
                <w:rFonts w:cs="Arial"/>
                <w:b/>
                <w:bCs/>
                <w:sz w:val="20"/>
                <w:szCs w:val="20"/>
                <w:lang w:eastAsia="en-GB"/>
              </w:rPr>
              <w:t xml:space="preserve"> +</w:t>
            </w:r>
          </w:p>
        </w:tc>
        <w:tc>
          <w:tcPr>
            <w:tcW w:w="480" w:type="dxa"/>
            <w:tcBorders>
              <w:top w:val="double" w:sz="6" w:space="0" w:color="000000"/>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double" w:sz="6" w:space="0" w:color="000000"/>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double" w:sz="6" w:space="0" w:color="000000"/>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double" w:sz="6" w:space="0" w:color="000000"/>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double" w:sz="6" w:space="0" w:color="000000"/>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double" w:sz="6" w:space="0" w:color="000000"/>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double" w:sz="6" w:space="0" w:color="000000"/>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double" w:sz="6" w:space="0" w:color="000000"/>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double" w:sz="6" w:space="0" w:color="000000"/>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double" w:sz="6" w:space="0" w:color="000000"/>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r>
      <w:tr w:rsidR="00EA21AD" w:rsidRPr="00EA21AD" w:rsidTr="00454D48">
        <w:trPr>
          <w:trHeight w:val="255"/>
          <w:jc w:val="center"/>
        </w:trPr>
        <w:tc>
          <w:tcPr>
            <w:tcW w:w="3440" w:type="dxa"/>
            <w:tcBorders>
              <w:top w:val="nil"/>
              <w:left w:val="single" w:sz="4" w:space="0" w:color="000000"/>
              <w:bottom w:val="single" w:sz="4" w:space="0" w:color="000000"/>
              <w:right w:val="single" w:sz="4" w:space="0" w:color="000000"/>
            </w:tcBorders>
            <w:shd w:val="clear" w:color="000000" w:fill="FF99CC"/>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Microlet</w:t>
            </w:r>
            <w:proofErr w:type="spellEnd"/>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 </w:t>
            </w:r>
          </w:p>
        </w:tc>
      </w:tr>
      <w:tr w:rsidR="00EA21AD" w:rsidRPr="00EA21AD" w:rsidTr="00454D48">
        <w:trPr>
          <w:trHeight w:val="255"/>
          <w:jc w:val="center"/>
        </w:trPr>
        <w:tc>
          <w:tcPr>
            <w:tcW w:w="3440" w:type="dxa"/>
            <w:tcBorders>
              <w:top w:val="nil"/>
              <w:left w:val="single" w:sz="4" w:space="0" w:color="000000"/>
              <w:bottom w:val="single" w:sz="4" w:space="0" w:color="000000"/>
              <w:right w:val="single" w:sz="4" w:space="0" w:color="000000"/>
            </w:tcBorders>
            <w:shd w:val="clear" w:color="000000" w:fill="FF99CC"/>
            <w:vAlign w:val="center"/>
            <w:hideMark/>
          </w:tcPr>
          <w:p w:rsidR="00EA21AD" w:rsidRPr="00EA21AD" w:rsidRDefault="00EA21AD" w:rsidP="00EA21AD">
            <w:pPr>
              <w:spacing w:after="0"/>
              <w:jc w:val="center"/>
              <w:rPr>
                <w:rFonts w:cs="Arial"/>
                <w:b/>
                <w:bCs/>
                <w:sz w:val="20"/>
                <w:szCs w:val="20"/>
                <w:lang w:eastAsia="en-GB"/>
              </w:rPr>
            </w:pPr>
            <w:r w:rsidRPr="00EA21AD">
              <w:rPr>
                <w:rFonts w:cs="Arial"/>
                <w:b/>
                <w:bCs/>
                <w:sz w:val="20"/>
                <w:szCs w:val="20"/>
                <w:lang w:eastAsia="en-GB"/>
              </w:rPr>
              <w:t>Thin Lancets</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r>
      <w:tr w:rsidR="00EA21AD" w:rsidRPr="00EA21AD" w:rsidTr="00454D48">
        <w:trPr>
          <w:trHeight w:val="255"/>
          <w:jc w:val="center"/>
        </w:trPr>
        <w:tc>
          <w:tcPr>
            <w:tcW w:w="3440" w:type="dxa"/>
            <w:tcBorders>
              <w:top w:val="nil"/>
              <w:left w:val="single" w:sz="4" w:space="0" w:color="000000"/>
              <w:bottom w:val="single" w:sz="4" w:space="0" w:color="000000"/>
              <w:right w:val="single" w:sz="4" w:space="0" w:color="000000"/>
            </w:tcBorders>
            <w:shd w:val="clear" w:color="000000" w:fill="FF99CC"/>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Vitrex</w:t>
            </w:r>
            <w:proofErr w:type="spellEnd"/>
            <w:r w:rsidRPr="00EA21AD">
              <w:rPr>
                <w:rFonts w:cs="Arial"/>
                <w:b/>
                <w:bCs/>
                <w:sz w:val="20"/>
                <w:szCs w:val="20"/>
                <w:lang w:eastAsia="en-GB"/>
              </w:rPr>
              <w:t xml:space="preserve"> Soft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r>
      <w:tr w:rsidR="00EA21AD" w:rsidRPr="00EA21AD" w:rsidTr="00454D48">
        <w:trPr>
          <w:trHeight w:val="255"/>
          <w:jc w:val="center"/>
        </w:trPr>
        <w:tc>
          <w:tcPr>
            <w:tcW w:w="3440" w:type="dxa"/>
            <w:tcBorders>
              <w:top w:val="nil"/>
              <w:left w:val="single" w:sz="4" w:space="0" w:color="000000"/>
              <w:bottom w:val="single" w:sz="4" w:space="0" w:color="000000"/>
              <w:right w:val="single" w:sz="4" w:space="0" w:color="000000"/>
            </w:tcBorders>
            <w:shd w:val="clear" w:color="000000" w:fill="FF99CC"/>
            <w:vAlign w:val="center"/>
            <w:hideMark/>
          </w:tcPr>
          <w:p w:rsidR="00EA21AD" w:rsidRPr="00EA21AD" w:rsidRDefault="00EA21AD" w:rsidP="00EA21AD">
            <w:pPr>
              <w:spacing w:after="0"/>
              <w:jc w:val="center"/>
              <w:rPr>
                <w:rFonts w:cs="Arial"/>
                <w:b/>
                <w:bCs/>
                <w:sz w:val="20"/>
                <w:szCs w:val="20"/>
                <w:lang w:eastAsia="en-GB"/>
              </w:rPr>
            </w:pPr>
            <w:r w:rsidRPr="00EA21AD">
              <w:rPr>
                <w:rFonts w:cs="Arial"/>
                <w:b/>
                <w:bCs/>
                <w:sz w:val="20"/>
                <w:szCs w:val="20"/>
                <w:lang w:eastAsia="en-GB"/>
              </w:rPr>
              <w:t xml:space="preserve">OneTouch </w:t>
            </w:r>
            <w:proofErr w:type="spellStart"/>
            <w:r w:rsidRPr="00EA21AD">
              <w:rPr>
                <w:rFonts w:cs="Arial"/>
                <w:b/>
                <w:bCs/>
                <w:sz w:val="20"/>
                <w:szCs w:val="20"/>
                <w:lang w:eastAsia="en-GB"/>
              </w:rPr>
              <w:t>Ultrasoft</w:t>
            </w:r>
            <w:proofErr w:type="spellEnd"/>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r>
      <w:tr w:rsidR="00EA21AD" w:rsidRPr="00EA21AD" w:rsidTr="00454D48">
        <w:trPr>
          <w:trHeight w:val="255"/>
          <w:jc w:val="center"/>
        </w:trPr>
        <w:tc>
          <w:tcPr>
            <w:tcW w:w="3440" w:type="dxa"/>
            <w:tcBorders>
              <w:top w:val="nil"/>
              <w:left w:val="single" w:sz="4" w:space="0" w:color="000000"/>
              <w:bottom w:val="single" w:sz="4" w:space="0" w:color="000000"/>
              <w:right w:val="single" w:sz="4" w:space="0" w:color="000000"/>
            </w:tcBorders>
            <w:shd w:val="clear" w:color="000000" w:fill="FF99CC"/>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FreeStyle</w:t>
            </w:r>
            <w:proofErr w:type="spellEnd"/>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r>
      <w:tr w:rsidR="00EA21AD" w:rsidRPr="00EA21AD" w:rsidTr="00454D48">
        <w:trPr>
          <w:trHeight w:val="255"/>
          <w:jc w:val="center"/>
        </w:trPr>
        <w:tc>
          <w:tcPr>
            <w:tcW w:w="3440" w:type="dxa"/>
            <w:tcBorders>
              <w:top w:val="nil"/>
              <w:left w:val="single" w:sz="4" w:space="0" w:color="000000"/>
              <w:bottom w:val="single" w:sz="4" w:space="0" w:color="000000"/>
              <w:right w:val="single" w:sz="4" w:space="0" w:color="000000"/>
            </w:tcBorders>
            <w:shd w:val="clear" w:color="000000" w:fill="FF99CC"/>
            <w:vAlign w:val="center"/>
            <w:hideMark/>
          </w:tcPr>
          <w:p w:rsidR="00EA21AD" w:rsidRPr="00EA21AD" w:rsidRDefault="00EA21AD" w:rsidP="00EA21AD">
            <w:pPr>
              <w:spacing w:after="0"/>
              <w:jc w:val="center"/>
              <w:rPr>
                <w:rFonts w:cs="Arial"/>
                <w:b/>
                <w:bCs/>
                <w:sz w:val="20"/>
                <w:szCs w:val="20"/>
                <w:lang w:eastAsia="en-GB"/>
              </w:rPr>
            </w:pPr>
            <w:proofErr w:type="spellStart"/>
            <w:r w:rsidRPr="00EA21AD">
              <w:rPr>
                <w:rFonts w:cs="Arial"/>
                <w:b/>
                <w:bCs/>
                <w:sz w:val="20"/>
                <w:szCs w:val="20"/>
                <w:lang w:eastAsia="en-GB"/>
              </w:rPr>
              <w:t>Omnican</w:t>
            </w:r>
            <w:proofErr w:type="spellEnd"/>
            <w:r w:rsidRPr="00EA21AD">
              <w:rPr>
                <w:rFonts w:cs="Arial"/>
                <w:b/>
                <w:bCs/>
                <w:sz w:val="20"/>
                <w:szCs w:val="20"/>
                <w:lang w:eastAsia="en-GB"/>
              </w:rPr>
              <w:t xml:space="preserve"> Lance soft </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auto" w:fill="auto"/>
            <w:vAlign w:val="bottom"/>
            <w:hideMark/>
          </w:tcPr>
          <w:p w:rsidR="00EA21AD" w:rsidRPr="00EA21AD" w:rsidRDefault="00EA21AD" w:rsidP="00EA21AD">
            <w:pPr>
              <w:spacing w:after="0"/>
              <w:rPr>
                <w:rFonts w:cs="Arial"/>
                <w:b/>
                <w:bCs/>
                <w:sz w:val="20"/>
                <w:szCs w:val="20"/>
                <w:lang w:eastAsia="en-GB"/>
              </w:rPr>
            </w:pPr>
            <w:r w:rsidRPr="00EA21AD">
              <w:rPr>
                <w:rFonts w:cs="Arial"/>
                <w:b/>
                <w:bCs/>
                <w:sz w:val="20"/>
                <w:szCs w:val="20"/>
                <w:lang w:eastAsia="en-GB"/>
              </w:rPr>
              <w:t>•</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c>
          <w:tcPr>
            <w:tcW w:w="480" w:type="dxa"/>
            <w:tcBorders>
              <w:top w:val="nil"/>
              <w:left w:val="nil"/>
              <w:bottom w:val="single" w:sz="4" w:space="0" w:color="000000"/>
              <w:right w:val="single" w:sz="4" w:space="0" w:color="000000"/>
            </w:tcBorders>
            <w:shd w:val="clear" w:color="000000" w:fill="FF0000"/>
            <w:vAlign w:val="bottom"/>
            <w:hideMark/>
          </w:tcPr>
          <w:p w:rsidR="00EA21AD" w:rsidRPr="00EA21AD" w:rsidRDefault="00EA21AD" w:rsidP="00EA21AD">
            <w:pPr>
              <w:spacing w:after="0"/>
              <w:rPr>
                <w:rFonts w:cs="Arial"/>
                <w:sz w:val="20"/>
                <w:szCs w:val="20"/>
                <w:lang w:eastAsia="en-GB"/>
              </w:rPr>
            </w:pPr>
            <w:r w:rsidRPr="00EA21AD">
              <w:rPr>
                <w:rFonts w:cs="Arial"/>
                <w:sz w:val="20"/>
                <w:szCs w:val="20"/>
                <w:lang w:eastAsia="en-GB"/>
              </w:rPr>
              <w:t> </w:t>
            </w:r>
          </w:p>
        </w:tc>
      </w:tr>
    </w:tbl>
    <w:p w:rsidR="00EA21AD" w:rsidRDefault="00EA21AD" w:rsidP="0049204E">
      <w:pPr>
        <w:rPr>
          <w:b/>
          <w:sz w:val="28"/>
          <w:szCs w:val="28"/>
        </w:rPr>
      </w:pPr>
    </w:p>
    <w:p w:rsidR="00651113" w:rsidRPr="00C7529B" w:rsidRDefault="00651113" w:rsidP="0049204E">
      <w:r>
        <w:t xml:space="preserve">NB: Finger pricking devices are NOT </w:t>
      </w:r>
      <w:proofErr w:type="spellStart"/>
      <w:r>
        <w:t>prescribable</w:t>
      </w:r>
      <w:proofErr w:type="spellEnd"/>
      <w:r>
        <w:t>, but all meter manufacturers supply free of charge, with the meter.</w:t>
      </w:r>
    </w:p>
    <w:p w:rsidR="00700074" w:rsidRDefault="00E818BE" w:rsidP="00E818BE">
      <w:pPr>
        <w:jc w:val="center"/>
        <w:rPr>
          <w:b/>
          <w:sz w:val="28"/>
          <w:szCs w:val="28"/>
        </w:rPr>
      </w:pPr>
      <w:r>
        <w:rPr>
          <w:noProof/>
          <w:lang w:eastAsia="en-GB"/>
        </w:rPr>
        <w:lastRenderedPageBreak/>
        <w:drawing>
          <wp:inline distT="0" distB="0" distL="0" distR="0" wp14:anchorId="122937C4" wp14:editId="58CB7D05">
            <wp:extent cx="5714365" cy="8229600"/>
            <wp:effectExtent l="0" t="0" r="1968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21AD" w:rsidRDefault="00EA21AD" w:rsidP="0049204E">
      <w:pPr>
        <w:rPr>
          <w:b/>
          <w:sz w:val="28"/>
          <w:szCs w:val="28"/>
        </w:rPr>
      </w:pPr>
    </w:p>
    <w:p w:rsidR="00EA21AD" w:rsidRDefault="00EA21AD" w:rsidP="0049204E">
      <w:pPr>
        <w:rPr>
          <w:b/>
          <w:sz w:val="28"/>
          <w:szCs w:val="28"/>
        </w:rPr>
      </w:pPr>
    </w:p>
    <w:p w:rsidR="00EA21AD" w:rsidRDefault="008F3289" w:rsidP="0049204E">
      <w:pPr>
        <w:rPr>
          <w:b/>
          <w:sz w:val="28"/>
          <w:szCs w:val="28"/>
        </w:rPr>
      </w:pPr>
      <w:r>
        <w:rPr>
          <w:b/>
          <w:sz w:val="28"/>
          <w:szCs w:val="28"/>
        </w:rPr>
        <w:lastRenderedPageBreak/>
        <w:t>References</w:t>
      </w:r>
    </w:p>
    <w:p w:rsidR="00EA21AD" w:rsidRDefault="00C1416E" w:rsidP="0049204E">
      <w:pPr>
        <w:rPr>
          <w:b/>
          <w:sz w:val="28"/>
          <w:szCs w:val="28"/>
        </w:rPr>
      </w:pPr>
      <w:hyperlink r:id="rId19" w:history="1">
        <w:r w:rsidR="004A6B8F" w:rsidRPr="004D0221">
          <w:rPr>
            <w:rStyle w:val="Hyperlink"/>
            <w:b/>
            <w:sz w:val="28"/>
            <w:szCs w:val="28"/>
          </w:rPr>
          <w:t>http://www.nice.org.uk/guidance/indevelopment/gid-cgwave0612</w:t>
        </w:r>
      </w:hyperlink>
    </w:p>
    <w:p w:rsidR="004A6B8F" w:rsidRPr="004A6B8F" w:rsidRDefault="004A6B8F" w:rsidP="004A6B8F">
      <w:pPr>
        <w:autoSpaceDE w:val="0"/>
        <w:autoSpaceDN w:val="0"/>
        <w:adjustRightInd w:val="0"/>
        <w:spacing w:after="0"/>
        <w:rPr>
          <w:rFonts w:eastAsia="MS PGothic" w:cs="Arial"/>
          <w:sz w:val="20"/>
          <w:szCs w:val="20"/>
          <w:lang w:eastAsia="en-GB"/>
        </w:rPr>
      </w:pPr>
      <w:r w:rsidRPr="004A6B8F">
        <w:rPr>
          <w:rFonts w:eastAsia="MS PGothic" w:cs="Arial"/>
          <w:sz w:val="20"/>
          <w:szCs w:val="20"/>
          <w:lang w:eastAsia="en-GB"/>
        </w:rPr>
        <w:t>Strategie</w:t>
      </w:r>
      <w:r>
        <w:rPr>
          <w:rFonts w:eastAsia="MS PGothic" w:cs="Arial"/>
          <w:sz w:val="20"/>
          <w:szCs w:val="20"/>
          <w:lang w:eastAsia="en-GB"/>
        </w:rPr>
        <w:t xml:space="preserve">s for Insulin Injection Therapy </w:t>
      </w:r>
      <w:r w:rsidRPr="004A6B8F">
        <w:rPr>
          <w:rFonts w:eastAsia="MS PGothic" w:cs="Arial"/>
          <w:sz w:val="20"/>
          <w:szCs w:val="20"/>
          <w:lang w:eastAsia="en-GB"/>
        </w:rPr>
        <w:t>in Diabetes Self-Management</w:t>
      </w:r>
      <w:r>
        <w:rPr>
          <w:rFonts w:eastAsia="MS PGothic" w:cs="Arial"/>
          <w:sz w:val="20"/>
          <w:szCs w:val="20"/>
          <w:lang w:eastAsia="en-GB"/>
        </w:rPr>
        <w:t xml:space="preserve"> - AADE</w:t>
      </w:r>
    </w:p>
    <w:p w:rsidR="008F3289" w:rsidRPr="00A70D9C" w:rsidRDefault="008F3289" w:rsidP="008F3289">
      <w:pPr>
        <w:autoSpaceDE w:val="0"/>
        <w:autoSpaceDN w:val="0"/>
        <w:adjustRightInd w:val="0"/>
        <w:spacing w:after="0"/>
        <w:rPr>
          <w:rFonts w:eastAsia="MS PGothic" w:cs="Arial"/>
          <w:iCs/>
          <w:sz w:val="20"/>
          <w:szCs w:val="20"/>
          <w:lang w:eastAsia="en-GB"/>
        </w:rPr>
      </w:pPr>
      <w:r w:rsidRPr="00A70D9C">
        <w:rPr>
          <w:rFonts w:eastAsia="MS PGothic" w:cs="Arial"/>
          <w:iCs/>
          <w:sz w:val="20"/>
          <w:szCs w:val="20"/>
          <w:lang w:eastAsia="en-GB"/>
        </w:rPr>
        <w:t>In April 2011, the American Association of Diabetes Educators (AADE) convened a multidisciplinary expert panel to propose</w:t>
      </w:r>
      <w:r w:rsidR="00A70D9C">
        <w:rPr>
          <w:rFonts w:eastAsia="MS PGothic" w:cs="Arial"/>
          <w:iCs/>
          <w:sz w:val="20"/>
          <w:szCs w:val="20"/>
          <w:lang w:eastAsia="en-GB"/>
        </w:rPr>
        <w:t xml:space="preserve"> </w:t>
      </w:r>
      <w:r w:rsidRPr="00A70D9C">
        <w:rPr>
          <w:rFonts w:eastAsia="MS PGothic" w:cs="Arial"/>
          <w:iCs/>
          <w:sz w:val="20"/>
          <w:szCs w:val="20"/>
          <w:lang w:eastAsia="en-GB"/>
        </w:rPr>
        <w:t>guidelines for insulin injection therapy. The panel examined best practices and explored effective problem solving for patients who</w:t>
      </w:r>
      <w:r w:rsidR="00A70D9C">
        <w:rPr>
          <w:rFonts w:eastAsia="MS PGothic" w:cs="Arial"/>
          <w:iCs/>
          <w:sz w:val="20"/>
          <w:szCs w:val="20"/>
          <w:lang w:eastAsia="en-GB"/>
        </w:rPr>
        <w:t xml:space="preserve"> </w:t>
      </w:r>
      <w:r w:rsidRPr="00A70D9C">
        <w:rPr>
          <w:rFonts w:eastAsia="MS PGothic" w:cs="Arial"/>
          <w:iCs/>
          <w:sz w:val="20"/>
          <w:szCs w:val="20"/>
          <w:lang w:eastAsia="en-GB"/>
        </w:rPr>
        <w:t>have difficulty with insulin injections. Among the topics addressed were insulin absorption, pain, injection sites, safety, barriers to</w:t>
      </w:r>
      <w:r w:rsidR="00A70D9C">
        <w:rPr>
          <w:rFonts w:eastAsia="MS PGothic" w:cs="Arial"/>
          <w:iCs/>
          <w:sz w:val="20"/>
          <w:szCs w:val="20"/>
          <w:lang w:eastAsia="en-GB"/>
        </w:rPr>
        <w:t xml:space="preserve"> </w:t>
      </w:r>
      <w:r w:rsidRPr="00A70D9C">
        <w:rPr>
          <w:rFonts w:eastAsia="MS PGothic" w:cs="Arial"/>
          <w:iCs/>
          <w:sz w:val="20"/>
          <w:szCs w:val="20"/>
          <w:lang w:eastAsia="en-GB"/>
        </w:rPr>
        <w:t>insulin therapy, and teaching techniques for various populations.</w:t>
      </w:r>
    </w:p>
    <w:p w:rsidR="007D4257" w:rsidRDefault="007D4257" w:rsidP="008F3289">
      <w:pPr>
        <w:autoSpaceDE w:val="0"/>
        <w:autoSpaceDN w:val="0"/>
        <w:adjustRightInd w:val="0"/>
        <w:spacing w:after="0"/>
        <w:rPr>
          <w:rFonts w:ascii="MinionPro-It" w:eastAsia="MS PGothic" w:hAnsi="MinionPro-It" w:cs="MinionPro-It"/>
          <w:i/>
          <w:iCs/>
          <w:sz w:val="20"/>
          <w:szCs w:val="20"/>
          <w:lang w:eastAsia="en-GB"/>
        </w:rPr>
      </w:pPr>
    </w:p>
    <w:p w:rsidR="00EA21AD" w:rsidRDefault="00C1416E" w:rsidP="008F3289">
      <w:pPr>
        <w:rPr>
          <w:b/>
          <w:sz w:val="28"/>
          <w:szCs w:val="28"/>
        </w:rPr>
      </w:pPr>
      <w:hyperlink r:id="rId20" w:history="1">
        <w:r w:rsidR="007D4257" w:rsidRPr="004D0221">
          <w:rPr>
            <w:rStyle w:val="Hyperlink"/>
            <w:b/>
            <w:sz w:val="28"/>
            <w:szCs w:val="28"/>
          </w:rPr>
          <w:t>http://www.diabetes.org.uk/Upload/Position%20statements/Draft%20position%20statement%20on%20sharps%20disposal%20Feb%202015.pdf</w:t>
        </w:r>
      </w:hyperlink>
    </w:p>
    <w:p w:rsidR="00BF27EF" w:rsidRDefault="00BF27EF" w:rsidP="00BF27EF">
      <w:pPr>
        <w:autoSpaceDE w:val="0"/>
        <w:autoSpaceDN w:val="0"/>
        <w:adjustRightInd w:val="0"/>
        <w:spacing w:after="0"/>
        <w:rPr>
          <w:rFonts w:eastAsia="MS PGothic" w:cs="Arial"/>
          <w:color w:val="231F20"/>
          <w:sz w:val="20"/>
          <w:szCs w:val="20"/>
          <w:lang w:eastAsia="en-GB"/>
        </w:rPr>
      </w:pPr>
      <w:r>
        <w:rPr>
          <w:rFonts w:eastAsia="MS PGothic" w:cs="Arial"/>
          <w:color w:val="231F20"/>
          <w:sz w:val="20"/>
          <w:szCs w:val="20"/>
          <w:lang w:eastAsia="en-GB"/>
        </w:rPr>
        <w:t xml:space="preserve">Evidence-based clinical guidelines for injection </w:t>
      </w:r>
      <w:r w:rsidRPr="00BF27EF">
        <w:rPr>
          <w:rFonts w:eastAsia="MS PGothic" w:cs="Arial"/>
          <w:color w:val="231F20"/>
          <w:sz w:val="20"/>
          <w:szCs w:val="20"/>
          <w:lang w:eastAsia="en-GB"/>
        </w:rPr>
        <w:t>of insulin for ad</w:t>
      </w:r>
      <w:r>
        <w:rPr>
          <w:rFonts w:eastAsia="MS PGothic" w:cs="Arial"/>
          <w:color w:val="231F20"/>
          <w:sz w:val="20"/>
          <w:szCs w:val="20"/>
          <w:lang w:eastAsia="en-GB"/>
        </w:rPr>
        <w:t xml:space="preserve">ults with </w:t>
      </w:r>
      <w:r w:rsidRPr="00BF27EF">
        <w:rPr>
          <w:rFonts w:eastAsia="MS PGothic" w:cs="Arial"/>
          <w:color w:val="231F20"/>
          <w:sz w:val="20"/>
          <w:szCs w:val="20"/>
          <w:lang w:eastAsia="en-GB"/>
        </w:rPr>
        <w:t>diabetes mellitus, 2nd edition Danish Nurses Organisation, 2006</w:t>
      </w:r>
    </w:p>
    <w:p w:rsidR="00B17C2F" w:rsidRDefault="00B17C2F" w:rsidP="00BF27EF">
      <w:pPr>
        <w:autoSpaceDE w:val="0"/>
        <w:autoSpaceDN w:val="0"/>
        <w:adjustRightInd w:val="0"/>
        <w:spacing w:after="0"/>
        <w:rPr>
          <w:rFonts w:eastAsia="MS PGothic" w:cs="Arial"/>
          <w:color w:val="231F20"/>
          <w:sz w:val="20"/>
          <w:szCs w:val="20"/>
          <w:lang w:eastAsia="en-GB"/>
        </w:rPr>
      </w:pPr>
    </w:p>
    <w:p w:rsidR="007D4257" w:rsidRPr="00B17C2F" w:rsidRDefault="00B17C2F" w:rsidP="00B17C2F">
      <w:pPr>
        <w:autoSpaceDE w:val="0"/>
        <w:autoSpaceDN w:val="0"/>
        <w:adjustRightInd w:val="0"/>
        <w:spacing w:after="0"/>
        <w:rPr>
          <w:rFonts w:eastAsia="MS PGothic" w:cs="Arial"/>
          <w:b/>
          <w:bCs/>
          <w:color w:val="333333"/>
          <w:sz w:val="20"/>
          <w:szCs w:val="20"/>
          <w:lang w:eastAsia="en-GB"/>
        </w:rPr>
      </w:pPr>
      <w:r w:rsidRPr="00B17C2F">
        <w:rPr>
          <w:rFonts w:eastAsia="MS PGothic" w:cs="Arial"/>
          <w:b/>
          <w:bCs/>
          <w:color w:val="333333"/>
          <w:sz w:val="20"/>
          <w:szCs w:val="20"/>
          <w:lang w:eastAsia="en-GB"/>
        </w:rPr>
        <w:t xml:space="preserve">FIT4Safety </w:t>
      </w:r>
      <w:r w:rsidRPr="00B17C2F">
        <w:rPr>
          <w:rFonts w:eastAsia="MS PGothic" w:cs="Arial"/>
          <w:color w:val="333333"/>
          <w:sz w:val="20"/>
          <w:szCs w:val="20"/>
          <w:lang w:eastAsia="en-GB"/>
        </w:rPr>
        <w:t>Recommendations for</w:t>
      </w:r>
      <w:r w:rsidRPr="00B17C2F">
        <w:rPr>
          <w:rFonts w:eastAsia="MS PGothic" w:cs="Arial"/>
          <w:b/>
          <w:bCs/>
          <w:color w:val="333333"/>
          <w:sz w:val="20"/>
          <w:szCs w:val="20"/>
          <w:lang w:eastAsia="en-GB"/>
        </w:rPr>
        <w:t xml:space="preserve"> </w:t>
      </w:r>
      <w:r w:rsidRPr="00B17C2F">
        <w:rPr>
          <w:rFonts w:eastAsia="MS PGothic" w:cs="Arial"/>
          <w:color w:val="333333"/>
          <w:sz w:val="20"/>
          <w:szCs w:val="20"/>
          <w:lang w:eastAsia="en-GB"/>
        </w:rPr>
        <w:t xml:space="preserve">Best Practice in Safety - </w:t>
      </w:r>
      <w:r w:rsidRPr="00B17C2F">
        <w:rPr>
          <w:rFonts w:eastAsia="MS PGothic" w:cs="Arial"/>
          <w:sz w:val="20"/>
          <w:szCs w:val="20"/>
          <w:lang w:eastAsia="en-GB"/>
        </w:rPr>
        <w:t>The EU Directive 2010/32 (1) sets</w:t>
      </w:r>
      <w:r w:rsidRPr="00B17C2F">
        <w:rPr>
          <w:rFonts w:eastAsia="MS PGothic" w:cs="Arial"/>
          <w:color w:val="231F20"/>
          <w:sz w:val="20"/>
          <w:szCs w:val="20"/>
          <w:lang w:eastAsia="en-GB"/>
        </w:rPr>
        <w:t xml:space="preserve"> </w:t>
      </w:r>
      <w:r w:rsidRPr="00B17C2F">
        <w:rPr>
          <w:rFonts w:eastAsia="MS PGothic" w:cs="Arial"/>
          <w:sz w:val="20"/>
          <w:szCs w:val="20"/>
          <w:lang w:eastAsia="en-GB"/>
        </w:rPr>
        <w:t>out a new legal framework for the</w:t>
      </w:r>
      <w:r w:rsidRPr="00B17C2F">
        <w:rPr>
          <w:rFonts w:eastAsia="MS PGothic" w:cs="Arial"/>
          <w:color w:val="231F20"/>
          <w:sz w:val="20"/>
          <w:szCs w:val="20"/>
          <w:lang w:eastAsia="en-GB"/>
        </w:rPr>
        <w:t xml:space="preserve"> </w:t>
      </w:r>
      <w:r w:rsidRPr="00B17C2F">
        <w:rPr>
          <w:rFonts w:eastAsia="MS PGothic" w:cs="Arial"/>
          <w:sz w:val="20"/>
          <w:szCs w:val="20"/>
          <w:lang w:eastAsia="en-GB"/>
        </w:rPr>
        <w:t xml:space="preserve">management of sharps and </w:t>
      </w:r>
      <w:proofErr w:type="spellStart"/>
      <w:r w:rsidRPr="00B17C2F">
        <w:rPr>
          <w:rFonts w:eastAsia="MS PGothic" w:cs="Arial"/>
          <w:sz w:val="20"/>
          <w:szCs w:val="20"/>
          <w:lang w:eastAsia="en-GB"/>
        </w:rPr>
        <w:t>needlestick</w:t>
      </w:r>
      <w:proofErr w:type="spellEnd"/>
      <w:r w:rsidRPr="00B17C2F">
        <w:rPr>
          <w:rFonts w:eastAsia="MS PGothic" w:cs="Arial"/>
          <w:color w:val="231F20"/>
          <w:sz w:val="20"/>
          <w:szCs w:val="20"/>
          <w:lang w:eastAsia="en-GB"/>
        </w:rPr>
        <w:t xml:space="preserve"> </w:t>
      </w:r>
      <w:r w:rsidRPr="00B17C2F">
        <w:rPr>
          <w:rFonts w:eastAsia="MS PGothic" w:cs="Arial"/>
          <w:sz w:val="20"/>
          <w:szCs w:val="20"/>
          <w:lang w:eastAsia="en-GB"/>
        </w:rPr>
        <w:t>injuries (NSI). The new regime which</w:t>
      </w:r>
      <w:r w:rsidRPr="00B17C2F">
        <w:rPr>
          <w:rFonts w:eastAsia="MS PGothic" w:cs="Arial"/>
          <w:color w:val="231F20"/>
          <w:sz w:val="20"/>
          <w:szCs w:val="20"/>
          <w:lang w:eastAsia="en-GB"/>
        </w:rPr>
        <w:t xml:space="preserve"> </w:t>
      </w:r>
      <w:r w:rsidRPr="00B17C2F">
        <w:rPr>
          <w:rFonts w:eastAsia="MS PGothic" w:cs="Arial"/>
          <w:sz w:val="20"/>
          <w:szCs w:val="20"/>
          <w:lang w:eastAsia="en-GB"/>
        </w:rPr>
        <w:t>must be fully transposed into UK and</w:t>
      </w:r>
      <w:r w:rsidRPr="00B17C2F">
        <w:rPr>
          <w:rFonts w:eastAsia="MS PGothic" w:cs="Arial"/>
          <w:color w:val="231F20"/>
          <w:sz w:val="20"/>
          <w:szCs w:val="20"/>
          <w:lang w:eastAsia="en-GB"/>
        </w:rPr>
        <w:t xml:space="preserve"> </w:t>
      </w:r>
      <w:r w:rsidRPr="00B17C2F">
        <w:rPr>
          <w:rFonts w:eastAsia="MS PGothic" w:cs="Arial"/>
          <w:sz w:val="20"/>
          <w:szCs w:val="20"/>
          <w:lang w:eastAsia="en-GB"/>
        </w:rPr>
        <w:t>Irish law by May 2013 has focused</w:t>
      </w:r>
      <w:r w:rsidRPr="00B17C2F">
        <w:rPr>
          <w:rFonts w:eastAsia="MS PGothic" w:cs="Arial"/>
          <w:color w:val="231F20"/>
          <w:sz w:val="20"/>
          <w:szCs w:val="20"/>
          <w:lang w:eastAsia="en-GB"/>
        </w:rPr>
        <w:t xml:space="preserve"> </w:t>
      </w:r>
      <w:r w:rsidRPr="00B17C2F">
        <w:rPr>
          <w:rFonts w:eastAsia="MS PGothic" w:cs="Arial"/>
          <w:sz w:val="20"/>
          <w:szCs w:val="20"/>
          <w:lang w:eastAsia="en-GB"/>
        </w:rPr>
        <w:t>attention on the need to provide greater</w:t>
      </w:r>
      <w:r w:rsidRPr="00B17C2F">
        <w:rPr>
          <w:rFonts w:eastAsia="MS PGothic" w:cs="Arial"/>
          <w:color w:val="231F20"/>
          <w:sz w:val="20"/>
          <w:szCs w:val="20"/>
          <w:lang w:eastAsia="en-GB"/>
        </w:rPr>
        <w:t xml:space="preserve"> </w:t>
      </w:r>
      <w:r w:rsidRPr="00B17C2F">
        <w:rPr>
          <w:rFonts w:eastAsia="MS PGothic" w:cs="Arial"/>
          <w:sz w:val="20"/>
          <w:szCs w:val="20"/>
          <w:lang w:eastAsia="en-GB"/>
        </w:rPr>
        <w:t>protection to all healthcare workers,</w:t>
      </w:r>
      <w:r w:rsidRPr="00B17C2F">
        <w:rPr>
          <w:rFonts w:eastAsia="MS PGothic" w:cs="Arial"/>
          <w:color w:val="231F20"/>
          <w:sz w:val="20"/>
          <w:szCs w:val="20"/>
          <w:lang w:eastAsia="en-GB"/>
        </w:rPr>
        <w:t xml:space="preserve"> </w:t>
      </w:r>
      <w:r w:rsidRPr="00B17C2F">
        <w:rPr>
          <w:rFonts w:eastAsia="MS PGothic" w:cs="Arial"/>
          <w:sz w:val="20"/>
          <w:szCs w:val="20"/>
          <w:lang w:eastAsia="en-GB"/>
        </w:rPr>
        <w:t>downstream workers and others who are</w:t>
      </w:r>
      <w:r w:rsidRPr="00B17C2F">
        <w:rPr>
          <w:rFonts w:eastAsia="MS PGothic" w:cs="Arial"/>
          <w:color w:val="231F20"/>
          <w:sz w:val="20"/>
          <w:szCs w:val="20"/>
          <w:lang w:eastAsia="en-GB"/>
        </w:rPr>
        <w:t xml:space="preserve"> </w:t>
      </w:r>
      <w:r w:rsidRPr="00B17C2F">
        <w:rPr>
          <w:rFonts w:eastAsia="MS PGothic" w:cs="Arial"/>
          <w:sz w:val="20"/>
          <w:szCs w:val="20"/>
          <w:lang w:eastAsia="en-GB"/>
        </w:rPr>
        <w:t>at risk of sharps injury.</w:t>
      </w:r>
    </w:p>
    <w:p w:rsidR="00EA21AD" w:rsidRDefault="00EA21AD" w:rsidP="0049204E">
      <w:pPr>
        <w:rPr>
          <w:rFonts w:cs="Arial"/>
          <w:b/>
          <w:sz w:val="20"/>
          <w:szCs w:val="20"/>
        </w:rPr>
      </w:pPr>
    </w:p>
    <w:p w:rsidR="00687657" w:rsidRDefault="00687657" w:rsidP="0049204E">
      <w:pPr>
        <w:rPr>
          <w:rFonts w:cs="Arial"/>
          <w:sz w:val="20"/>
          <w:szCs w:val="20"/>
        </w:rPr>
      </w:pPr>
      <w:r w:rsidRPr="00687657">
        <w:rPr>
          <w:rFonts w:cs="Arial"/>
          <w:b/>
          <w:sz w:val="20"/>
          <w:szCs w:val="20"/>
        </w:rPr>
        <w:t>FIT</w:t>
      </w:r>
      <w:r>
        <w:rPr>
          <w:rFonts w:cs="Arial"/>
          <w:sz w:val="20"/>
          <w:szCs w:val="20"/>
        </w:rPr>
        <w:t xml:space="preserve"> </w:t>
      </w:r>
      <w:r w:rsidRPr="00687657">
        <w:rPr>
          <w:rFonts w:cs="Arial"/>
          <w:sz w:val="20"/>
          <w:szCs w:val="20"/>
        </w:rPr>
        <w:t>The First UK Injection Technique recommendations</w:t>
      </w:r>
      <w:r w:rsidR="00494E57">
        <w:rPr>
          <w:rFonts w:cs="Arial"/>
          <w:sz w:val="20"/>
          <w:szCs w:val="20"/>
        </w:rPr>
        <w:t xml:space="preserve"> 2</w:t>
      </w:r>
      <w:r w:rsidR="00494E57" w:rsidRPr="00494E57">
        <w:rPr>
          <w:rFonts w:cs="Arial"/>
          <w:sz w:val="20"/>
          <w:szCs w:val="20"/>
          <w:vertAlign w:val="superscript"/>
        </w:rPr>
        <w:t>nd</w:t>
      </w:r>
      <w:r w:rsidR="00494E57">
        <w:rPr>
          <w:rFonts w:cs="Arial"/>
          <w:sz w:val="20"/>
          <w:szCs w:val="20"/>
        </w:rPr>
        <w:t xml:space="preserve"> edition Oct 2011</w:t>
      </w:r>
    </w:p>
    <w:p w:rsidR="00494E57" w:rsidRDefault="004107BA" w:rsidP="0049204E">
      <w:pPr>
        <w:rPr>
          <w:rFonts w:eastAsia="MS PGothic" w:cs="Arial"/>
          <w:sz w:val="20"/>
          <w:szCs w:val="20"/>
          <w:lang w:eastAsia="en-GB"/>
        </w:rPr>
      </w:pPr>
      <w:r w:rsidRPr="004107BA">
        <w:rPr>
          <w:rFonts w:eastAsia="MS PGothic" w:cs="Arial"/>
          <w:sz w:val="20"/>
          <w:szCs w:val="20"/>
          <w:lang w:eastAsia="en-GB"/>
        </w:rPr>
        <w:t>Journal of Diabetes Nursing 16 No 4 2012 – Importance of injection technique in diabetes</w:t>
      </w:r>
    </w:p>
    <w:p w:rsidR="004107BA" w:rsidRPr="004107BA" w:rsidRDefault="004107BA" w:rsidP="0049204E">
      <w:pPr>
        <w:rPr>
          <w:rFonts w:cs="Arial"/>
          <w:sz w:val="20"/>
          <w:szCs w:val="20"/>
        </w:rPr>
      </w:pPr>
    </w:p>
    <w:p w:rsidR="00687657" w:rsidRPr="00687657" w:rsidRDefault="00687657" w:rsidP="0049204E">
      <w:pPr>
        <w:rPr>
          <w:rFonts w:cs="Arial"/>
          <w:sz w:val="20"/>
          <w:szCs w:val="20"/>
        </w:rPr>
      </w:pPr>
    </w:p>
    <w:p w:rsidR="00EA21AD" w:rsidRDefault="00EA21AD" w:rsidP="0049204E">
      <w:pPr>
        <w:rPr>
          <w:b/>
          <w:sz w:val="28"/>
          <w:szCs w:val="28"/>
        </w:rPr>
      </w:pPr>
    </w:p>
    <w:p w:rsidR="006B0EA9" w:rsidRDefault="006B0EA9" w:rsidP="0049204E">
      <w:pPr>
        <w:rPr>
          <w:b/>
          <w:sz w:val="28"/>
          <w:szCs w:val="28"/>
        </w:rPr>
      </w:pPr>
    </w:p>
    <w:p w:rsidR="006B0EA9" w:rsidRDefault="006B0EA9" w:rsidP="0049204E">
      <w:pPr>
        <w:rPr>
          <w:b/>
          <w:sz w:val="28"/>
          <w:szCs w:val="28"/>
        </w:rPr>
      </w:pPr>
    </w:p>
    <w:p w:rsidR="006B0EA9" w:rsidRDefault="006B0EA9" w:rsidP="0049204E">
      <w:pPr>
        <w:rPr>
          <w:b/>
          <w:sz w:val="28"/>
          <w:szCs w:val="28"/>
        </w:rPr>
      </w:pPr>
    </w:p>
    <w:p w:rsidR="006B0EA9" w:rsidRDefault="006B0EA9" w:rsidP="0049204E">
      <w:pPr>
        <w:rPr>
          <w:b/>
          <w:sz w:val="28"/>
          <w:szCs w:val="28"/>
        </w:rPr>
      </w:pPr>
    </w:p>
    <w:p w:rsidR="006B0EA9" w:rsidRDefault="006B0EA9" w:rsidP="0049204E">
      <w:pPr>
        <w:rPr>
          <w:b/>
          <w:sz w:val="28"/>
          <w:szCs w:val="28"/>
        </w:rPr>
      </w:pPr>
    </w:p>
    <w:p w:rsidR="006B0EA9" w:rsidRDefault="006B0EA9" w:rsidP="0049204E">
      <w:pPr>
        <w:rPr>
          <w:b/>
          <w:sz w:val="28"/>
          <w:szCs w:val="28"/>
        </w:rPr>
      </w:pPr>
    </w:p>
    <w:p w:rsidR="006B0EA9" w:rsidRDefault="006B0EA9" w:rsidP="0049204E">
      <w:pPr>
        <w:rPr>
          <w:b/>
          <w:sz w:val="28"/>
          <w:szCs w:val="28"/>
        </w:rPr>
      </w:pPr>
    </w:p>
    <w:p w:rsidR="006B0EA9" w:rsidRDefault="006B0EA9" w:rsidP="0049204E">
      <w:pPr>
        <w:rPr>
          <w:b/>
          <w:sz w:val="28"/>
          <w:szCs w:val="28"/>
        </w:rPr>
      </w:pPr>
    </w:p>
    <w:p w:rsidR="006B0EA9" w:rsidRDefault="006B0EA9" w:rsidP="0049204E">
      <w:pPr>
        <w:rPr>
          <w:b/>
          <w:sz w:val="28"/>
          <w:szCs w:val="28"/>
        </w:rPr>
      </w:pPr>
    </w:p>
    <w:p w:rsidR="00EA21AD" w:rsidRDefault="00EA21AD" w:rsidP="0049204E">
      <w:pPr>
        <w:rPr>
          <w:b/>
          <w:sz w:val="28"/>
          <w:szCs w:val="28"/>
        </w:rPr>
      </w:pPr>
    </w:p>
    <w:p w:rsidR="00EA21AD" w:rsidRDefault="00EA21AD" w:rsidP="0049204E">
      <w:pPr>
        <w:rPr>
          <w:b/>
          <w:sz w:val="28"/>
          <w:szCs w:val="28"/>
        </w:rPr>
      </w:pPr>
    </w:p>
    <w:p w:rsidR="00EA21AD" w:rsidRDefault="00EA21AD" w:rsidP="0049204E">
      <w:pPr>
        <w:rPr>
          <w:b/>
          <w:sz w:val="28"/>
          <w:szCs w:val="28"/>
        </w:rPr>
      </w:pPr>
    </w:p>
    <w:p w:rsidR="00EA21AD" w:rsidRDefault="00EA21AD" w:rsidP="0049204E">
      <w:pPr>
        <w:rPr>
          <w:b/>
          <w:sz w:val="28"/>
          <w:szCs w:val="28"/>
        </w:rPr>
      </w:pPr>
    </w:p>
    <w:p w:rsidR="00EA21AD" w:rsidRDefault="00EA21AD" w:rsidP="0049204E">
      <w:pPr>
        <w:rPr>
          <w:b/>
          <w:sz w:val="28"/>
          <w:szCs w:val="28"/>
        </w:rPr>
      </w:pPr>
    </w:p>
    <w:p w:rsidR="008E30B6" w:rsidRDefault="008E30B6" w:rsidP="008E30B6"/>
    <w:sectPr w:rsidR="008E30B6" w:rsidSect="002B4959">
      <w:headerReference w:type="even" r:id="rId21"/>
      <w:headerReference w:type="default" r:id="rId22"/>
      <w:footerReference w:type="even" r:id="rId23"/>
      <w:footerReference w:type="default" r:id="rId24"/>
      <w:headerReference w:type="first" r:id="rId25"/>
      <w:footerReference w:type="first" r:id="rId26"/>
      <w:pgSz w:w="11900" w:h="16840" w:code="9"/>
      <w:pgMar w:top="1134" w:right="1134" w:bottom="1418" w:left="1134" w:header="567"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6E" w:rsidRDefault="00C1416E" w:rsidP="00697231">
      <w:r>
        <w:separator/>
      </w:r>
    </w:p>
  </w:endnote>
  <w:endnote w:type="continuationSeparator" w:id="0">
    <w:p w:rsidR="00C1416E" w:rsidRDefault="00C1416E" w:rsidP="006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Univers 45 Light">
    <w:altName w:val="Corbel"/>
    <w:charset w:val="00"/>
    <w:family w:val="auto"/>
    <w:pitch w:val="variable"/>
    <w:sig w:usb0="00000001" w:usb1="00000000" w:usb2="00000000" w:usb3="00000000" w:csb0="00000093" w:csb1="00000000"/>
  </w:font>
  <w:font w:name="Arial M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I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63" w:rsidRDefault="00622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63" w:rsidRPr="00AF65D2" w:rsidRDefault="001C2469" w:rsidP="00AF65D2">
    <w:pPr>
      <w:pStyle w:val="Footer"/>
      <w:tabs>
        <w:tab w:val="clear" w:pos="4320"/>
        <w:tab w:val="clear" w:pos="8640"/>
        <w:tab w:val="center" w:pos="4816"/>
      </w:tabs>
    </w:pPr>
    <w:r>
      <w:rPr>
        <w:noProof/>
        <w:lang w:val="en-GB" w:eastAsia="en-GB"/>
      </w:rPr>
      <w:drawing>
        <wp:anchor distT="0" distB="0" distL="114300" distR="114300" simplePos="0" relativeHeight="251658240" behindDoc="0" locked="0" layoutInCell="1" allowOverlap="1" wp14:anchorId="2E070FC7" wp14:editId="5FF51AEF">
          <wp:simplePos x="0" y="0"/>
          <wp:positionH relativeFrom="page">
            <wp:posOffset>6442075</wp:posOffset>
          </wp:positionH>
          <wp:positionV relativeFrom="page">
            <wp:posOffset>9897745</wp:posOffset>
          </wp:positionV>
          <wp:extent cx="550545" cy="565150"/>
          <wp:effectExtent l="0" t="0" r="1905" b="6350"/>
          <wp:wrapThrough wrapText="bothSides">
            <wp:wrapPolygon edited="0">
              <wp:start x="747" y="0"/>
              <wp:lineTo x="0" y="728"/>
              <wp:lineTo x="0" y="13106"/>
              <wp:lineTo x="2990" y="21115"/>
              <wp:lineTo x="3737" y="21115"/>
              <wp:lineTo x="11958" y="21115"/>
              <wp:lineTo x="20927" y="21115"/>
              <wp:lineTo x="20927" y="1456"/>
              <wp:lineTo x="11211" y="0"/>
              <wp:lineTo x="7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59173444" wp14:editId="6A3CEEB1">
          <wp:simplePos x="0" y="0"/>
          <wp:positionH relativeFrom="page">
            <wp:posOffset>491490</wp:posOffset>
          </wp:positionH>
          <wp:positionV relativeFrom="page">
            <wp:posOffset>9970135</wp:posOffset>
          </wp:positionV>
          <wp:extent cx="53340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5D2" w:rsidRPr="00AF65D2">
      <w:tab/>
      <w:t xml:space="preserve">Page </w:t>
    </w:r>
    <w:r w:rsidR="00AF65D2" w:rsidRPr="00AF65D2">
      <w:fldChar w:fldCharType="begin"/>
    </w:r>
    <w:r w:rsidR="00AF65D2" w:rsidRPr="00AF65D2">
      <w:instrText xml:space="preserve"> PAGE  \* Arabic  \* MERGEFORMAT </w:instrText>
    </w:r>
    <w:r w:rsidR="00AF65D2" w:rsidRPr="00AF65D2">
      <w:fldChar w:fldCharType="separate"/>
    </w:r>
    <w:r w:rsidR="005C0FD9">
      <w:rPr>
        <w:noProof/>
      </w:rPr>
      <w:t>8</w:t>
    </w:r>
    <w:r w:rsidR="00AF65D2" w:rsidRPr="00AF65D2">
      <w:fldChar w:fldCharType="end"/>
    </w:r>
    <w:r w:rsidR="00AF65D2" w:rsidRPr="00AF65D2">
      <w:t xml:space="preserve"> of </w:t>
    </w:r>
    <w:r w:rsidR="00C1416E">
      <w:fldChar w:fldCharType="begin"/>
    </w:r>
    <w:r w:rsidR="00C1416E">
      <w:instrText xml:space="preserve"> NUMPAGES  \* Arabic  \* MERGEFORMAT </w:instrText>
    </w:r>
    <w:r w:rsidR="00C1416E">
      <w:fldChar w:fldCharType="separate"/>
    </w:r>
    <w:r w:rsidR="005C0FD9">
      <w:rPr>
        <w:noProof/>
      </w:rPr>
      <w:t>8</w:t>
    </w:r>
    <w:r w:rsidR="00C1416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63" w:rsidRDefault="00622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6E" w:rsidRDefault="00C1416E" w:rsidP="00697231">
      <w:r>
        <w:separator/>
      </w:r>
    </w:p>
  </w:footnote>
  <w:footnote w:type="continuationSeparator" w:id="0">
    <w:p w:rsidR="00C1416E" w:rsidRDefault="00C1416E" w:rsidP="00697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5F" w:rsidRDefault="0015205F" w:rsidP="00E83910">
    <w:pPr>
      <w:pStyle w:val="Header"/>
      <w:spacing w:after="0"/>
    </w:pPr>
    <w:r>
      <w:t xml:space="preserve">NHS </w:t>
    </w:r>
    <w:r w:rsidR="004A533A">
      <w:t xml:space="preserve">Unclassified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63" w:rsidRDefault="00622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63" w:rsidRDefault="00E12C5D" w:rsidP="00E83910">
    <w:pPr>
      <w:pStyle w:val="Header"/>
      <w:spacing w:after="0"/>
    </w:pPr>
    <w:r>
      <w:t xml:space="preserve">NHS </w:t>
    </w:r>
    <w:r w:rsidR="00A70D9C">
      <w:t xml:space="preserve">Unclassified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63" w:rsidRDefault="00622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nsid w:val="04992081"/>
    <w:multiLevelType w:val="hybridMultilevel"/>
    <w:tmpl w:val="4790DA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69"/>
    <w:rsid w:val="00004EBF"/>
    <w:rsid w:val="000248EE"/>
    <w:rsid w:val="000B4C48"/>
    <w:rsid w:val="001119EE"/>
    <w:rsid w:val="00113E4C"/>
    <w:rsid w:val="00117D7C"/>
    <w:rsid w:val="0015098C"/>
    <w:rsid w:val="0015205F"/>
    <w:rsid w:val="00152B21"/>
    <w:rsid w:val="00162E68"/>
    <w:rsid w:val="0017511E"/>
    <w:rsid w:val="001C2469"/>
    <w:rsid w:val="002933E5"/>
    <w:rsid w:val="002A7E7B"/>
    <w:rsid w:val="002B3E5D"/>
    <w:rsid w:val="002B4959"/>
    <w:rsid w:val="002F0370"/>
    <w:rsid w:val="00332244"/>
    <w:rsid w:val="00333CAD"/>
    <w:rsid w:val="003572C2"/>
    <w:rsid w:val="003D564F"/>
    <w:rsid w:val="003E44A8"/>
    <w:rsid w:val="004107BA"/>
    <w:rsid w:val="00454D48"/>
    <w:rsid w:val="00472D86"/>
    <w:rsid w:val="00491016"/>
    <w:rsid w:val="0049204E"/>
    <w:rsid w:val="00494E57"/>
    <w:rsid w:val="004A3D24"/>
    <w:rsid w:val="004A533A"/>
    <w:rsid w:val="004A6B8F"/>
    <w:rsid w:val="004B758C"/>
    <w:rsid w:val="004E1540"/>
    <w:rsid w:val="004F4C69"/>
    <w:rsid w:val="00516598"/>
    <w:rsid w:val="00520591"/>
    <w:rsid w:val="0052131F"/>
    <w:rsid w:val="00524429"/>
    <w:rsid w:val="00563CC4"/>
    <w:rsid w:val="005707E2"/>
    <w:rsid w:val="00571384"/>
    <w:rsid w:val="00580DA0"/>
    <w:rsid w:val="005C0FD9"/>
    <w:rsid w:val="00622163"/>
    <w:rsid w:val="00651113"/>
    <w:rsid w:val="006534FB"/>
    <w:rsid w:val="00687657"/>
    <w:rsid w:val="00697231"/>
    <w:rsid w:val="006B0EA9"/>
    <w:rsid w:val="006B2040"/>
    <w:rsid w:val="006F478F"/>
    <w:rsid w:val="00700074"/>
    <w:rsid w:val="007434C5"/>
    <w:rsid w:val="00773E74"/>
    <w:rsid w:val="007D212E"/>
    <w:rsid w:val="007D4257"/>
    <w:rsid w:val="007E1FF8"/>
    <w:rsid w:val="00866A97"/>
    <w:rsid w:val="008753AD"/>
    <w:rsid w:val="008A567F"/>
    <w:rsid w:val="008D4E1D"/>
    <w:rsid w:val="008E30B6"/>
    <w:rsid w:val="008F3289"/>
    <w:rsid w:val="00916534"/>
    <w:rsid w:val="00953B38"/>
    <w:rsid w:val="0097142E"/>
    <w:rsid w:val="009F06A4"/>
    <w:rsid w:val="00A03E07"/>
    <w:rsid w:val="00A3777B"/>
    <w:rsid w:val="00A43F39"/>
    <w:rsid w:val="00A70D9C"/>
    <w:rsid w:val="00A97AA0"/>
    <w:rsid w:val="00AC3282"/>
    <w:rsid w:val="00AF3160"/>
    <w:rsid w:val="00AF65D2"/>
    <w:rsid w:val="00B013C2"/>
    <w:rsid w:val="00B14D5C"/>
    <w:rsid w:val="00B17C2F"/>
    <w:rsid w:val="00B37717"/>
    <w:rsid w:val="00BF0026"/>
    <w:rsid w:val="00BF27EF"/>
    <w:rsid w:val="00C0222C"/>
    <w:rsid w:val="00C02319"/>
    <w:rsid w:val="00C1416E"/>
    <w:rsid w:val="00C34C4A"/>
    <w:rsid w:val="00C60C49"/>
    <w:rsid w:val="00C7529B"/>
    <w:rsid w:val="00C863B3"/>
    <w:rsid w:val="00CA1F82"/>
    <w:rsid w:val="00D10C31"/>
    <w:rsid w:val="00D772EB"/>
    <w:rsid w:val="00D81AB6"/>
    <w:rsid w:val="00D96845"/>
    <w:rsid w:val="00DD4385"/>
    <w:rsid w:val="00E07466"/>
    <w:rsid w:val="00E12C5D"/>
    <w:rsid w:val="00E31FE2"/>
    <w:rsid w:val="00E356D7"/>
    <w:rsid w:val="00E7056E"/>
    <w:rsid w:val="00E741BE"/>
    <w:rsid w:val="00E751FA"/>
    <w:rsid w:val="00E80038"/>
    <w:rsid w:val="00E818BE"/>
    <w:rsid w:val="00E83910"/>
    <w:rsid w:val="00EA21AD"/>
    <w:rsid w:val="00ED06F1"/>
    <w:rsid w:val="00F31CF4"/>
    <w:rsid w:val="00F327D2"/>
    <w:rsid w:val="00F77D2B"/>
    <w:rsid w:val="00F823C6"/>
    <w:rsid w:val="00F87ACE"/>
    <w:rsid w:val="00FC01D7"/>
    <w:rsid w:val="00FE42F4"/>
    <w:rsid w:val="00FF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4E"/>
    <w:pPr>
      <w:spacing w:after="120"/>
    </w:pPr>
    <w:rPr>
      <w:rFonts w:eastAsia="Times New Roman"/>
      <w:sz w:val="24"/>
      <w:szCs w:val="24"/>
      <w:lang w:eastAsia="en-US"/>
    </w:rPr>
  </w:style>
  <w:style w:type="paragraph" w:styleId="Heading1">
    <w:name w:val="heading 1"/>
    <w:basedOn w:val="Normal"/>
    <w:next w:val="Normal"/>
    <w:link w:val="Heading1Char"/>
    <w:uiPriority w:val="9"/>
    <w:qFormat/>
    <w:rsid w:val="008E30B6"/>
    <w:pPr>
      <w:keepNext/>
      <w:keepLines/>
      <w:spacing w:before="480"/>
      <w:outlineLvl w:val="0"/>
    </w:pPr>
    <w:rPr>
      <w:rFonts w:eastAsia="MS PGothic"/>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eastAsia="MS PGothic"/>
      <w:b/>
      <w:bCs/>
      <w:color w:val="14131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sz w:val="20"/>
      <w:szCs w:val="20"/>
      <w:lang w:val="en-GB"/>
    </w:rPr>
  </w:style>
  <w:style w:type="paragraph" w:styleId="Footer">
    <w:name w:val="footer"/>
    <w:basedOn w:val="Normal"/>
    <w:link w:val="FooterChar"/>
    <w:unhideWhenUsed/>
    <w:rsid w:val="00E12C5D"/>
    <w:pPr>
      <w:tabs>
        <w:tab w:val="center" w:pos="4320"/>
        <w:tab w:val="right" w:pos="8640"/>
      </w:tabs>
    </w:pPr>
    <w:rPr>
      <w:rFonts w:eastAsia="MS PGothic"/>
      <w:sz w:val="22"/>
      <w:lang w:val="en-US"/>
    </w:rPr>
  </w:style>
  <w:style w:type="character" w:customStyle="1" w:styleId="FooterChar">
    <w:name w:val="Footer Char"/>
    <w:link w:val="Footer"/>
    <w:rsid w:val="00E12C5D"/>
    <w:rPr>
      <w:rFonts w:ascii="Arial" w:hAnsi="Arial"/>
      <w:sz w:val="22"/>
    </w:rPr>
  </w:style>
  <w:style w:type="character" w:customStyle="1" w:styleId="Heading2Char">
    <w:name w:val="Heading 2 Char"/>
    <w:link w:val="Heading2"/>
    <w:uiPriority w:val="9"/>
    <w:rsid w:val="00D81AB6"/>
    <w:rPr>
      <w:rFonts w:ascii="Arial" w:eastAsia="MS PGothic" w:hAnsi="Arial" w:cs="Times New Roman"/>
      <w:b/>
      <w:bCs/>
      <w:color w:val="141313"/>
      <w:sz w:val="28"/>
      <w:szCs w:val="26"/>
      <w:lang w:val="en-GB"/>
    </w:rPr>
  </w:style>
  <w:style w:type="paragraph" w:customStyle="1" w:styleId="NECSDocumentTitle">
    <w:name w:val="NECS Document Title"/>
    <w:basedOn w:val="Heading1"/>
    <w:next w:val="BodyText"/>
    <w:qFormat/>
    <w:rsid w:val="00A97AA0"/>
    <w:pPr>
      <w:suppressAutoHyphens/>
      <w:spacing w:before="100"/>
    </w:pPr>
  </w:style>
  <w:style w:type="character" w:customStyle="1" w:styleId="Heading1Char">
    <w:name w:val="Heading 1 Char"/>
    <w:link w:val="Heading1"/>
    <w:uiPriority w:val="9"/>
    <w:rsid w:val="008E30B6"/>
    <w:rPr>
      <w:rFonts w:ascii="Arial" w:eastAsia="MS PGothic" w:hAnsi="Arial" w:cs="Times New Roman"/>
      <w:b/>
      <w:bCs/>
      <w:color w:val="005A9B"/>
      <w:sz w:val="32"/>
      <w:szCs w:val="32"/>
    </w:rPr>
  </w:style>
  <w:style w:type="paragraph" w:styleId="BodyText">
    <w:name w:val="Body Text"/>
    <w:basedOn w:val="Normal"/>
    <w:link w:val="BodyTextChar"/>
    <w:uiPriority w:val="99"/>
    <w:semiHidden/>
    <w:unhideWhenUsed/>
    <w:rsid w:val="00E07466"/>
    <w:rPr>
      <w:rFonts w:eastAsia="MS PGothic"/>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eastAsia="MS PGothic"/>
      <w:sz w:val="22"/>
      <w:lang w:val="en-US"/>
    </w:rPr>
  </w:style>
  <w:style w:type="character" w:customStyle="1" w:styleId="HeaderChar">
    <w:name w:val="Header Char"/>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eastAsia="MS PGothic"/>
      <w:i/>
      <w:iCs/>
      <w:color w:val="141313"/>
      <w:sz w:val="48"/>
    </w:rPr>
  </w:style>
  <w:style w:type="character" w:customStyle="1" w:styleId="SubtitleChar">
    <w:name w:val="Subtitle Char"/>
    <w:link w:val="Subtitle"/>
    <w:uiPriority w:val="11"/>
    <w:rsid w:val="00AF65D2"/>
    <w:rPr>
      <w:rFonts w:ascii="Arial" w:eastAsia="MS PGothic" w:hAnsi="Arial" w:cs="Times New Roman"/>
      <w:i/>
      <w:iCs/>
      <w:color w:val="141313"/>
      <w:sz w:val="48"/>
      <w:lang w:val="en-GB"/>
    </w:rPr>
  </w:style>
  <w:style w:type="paragraph" w:styleId="Title">
    <w:name w:val="Title"/>
    <w:basedOn w:val="Normal"/>
    <w:next w:val="Normal"/>
    <w:link w:val="TitleChar"/>
    <w:uiPriority w:val="10"/>
    <w:qFormat/>
    <w:rsid w:val="00516598"/>
    <w:pPr>
      <w:spacing w:after="0"/>
      <w:contextualSpacing/>
      <w:jc w:val="right"/>
    </w:pPr>
    <w:rPr>
      <w:rFonts w:eastAsia="MS PGothic"/>
      <w:color w:val="005A9B"/>
      <w:kern w:val="28"/>
      <w:sz w:val="72"/>
      <w:szCs w:val="52"/>
    </w:rPr>
  </w:style>
  <w:style w:type="character" w:customStyle="1" w:styleId="TitleChar">
    <w:name w:val="Title Char"/>
    <w:link w:val="Title"/>
    <w:uiPriority w:val="10"/>
    <w:rsid w:val="00516598"/>
    <w:rPr>
      <w:rFonts w:ascii="Arial" w:eastAsia="MS PGothic" w:hAnsi="Arial" w:cs="Times New Roman"/>
      <w:color w:val="005A9B"/>
      <w:kern w:val="28"/>
      <w:sz w:val="72"/>
      <w:szCs w:val="52"/>
      <w:lang w:val="en-GB"/>
    </w:rPr>
  </w:style>
  <w:style w:type="paragraph" w:styleId="ListParagraph">
    <w:name w:val="List Paragraph"/>
    <w:basedOn w:val="Normal"/>
    <w:uiPriority w:val="34"/>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paragraph" w:styleId="NormalWeb">
    <w:name w:val="Normal (Web)"/>
    <w:basedOn w:val="Normal"/>
    <w:uiPriority w:val="99"/>
    <w:semiHidden/>
    <w:unhideWhenUsed/>
    <w:rsid w:val="00F823C6"/>
    <w:pPr>
      <w:spacing w:after="0"/>
    </w:pPr>
    <w:rPr>
      <w:rFonts w:ascii="Times New Roman" w:hAnsi="Times New Roman"/>
      <w:lang w:eastAsia="en-GB"/>
    </w:rPr>
  </w:style>
  <w:style w:type="table" w:styleId="TableGrid">
    <w:name w:val="Table Grid"/>
    <w:basedOn w:val="TableNormal"/>
    <w:uiPriority w:val="59"/>
    <w:rsid w:val="0016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2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4E"/>
    <w:pPr>
      <w:spacing w:after="120"/>
    </w:pPr>
    <w:rPr>
      <w:rFonts w:eastAsia="Times New Roman"/>
      <w:sz w:val="24"/>
      <w:szCs w:val="24"/>
      <w:lang w:eastAsia="en-US"/>
    </w:rPr>
  </w:style>
  <w:style w:type="paragraph" w:styleId="Heading1">
    <w:name w:val="heading 1"/>
    <w:basedOn w:val="Normal"/>
    <w:next w:val="Normal"/>
    <w:link w:val="Heading1Char"/>
    <w:uiPriority w:val="9"/>
    <w:qFormat/>
    <w:rsid w:val="008E30B6"/>
    <w:pPr>
      <w:keepNext/>
      <w:keepLines/>
      <w:spacing w:before="480"/>
      <w:outlineLvl w:val="0"/>
    </w:pPr>
    <w:rPr>
      <w:rFonts w:eastAsia="MS PGothic"/>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eastAsia="MS PGothic"/>
      <w:b/>
      <w:bCs/>
      <w:color w:val="14131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sz w:val="20"/>
      <w:szCs w:val="20"/>
      <w:lang w:val="en-GB"/>
    </w:rPr>
  </w:style>
  <w:style w:type="paragraph" w:styleId="Footer">
    <w:name w:val="footer"/>
    <w:basedOn w:val="Normal"/>
    <w:link w:val="FooterChar"/>
    <w:unhideWhenUsed/>
    <w:rsid w:val="00E12C5D"/>
    <w:pPr>
      <w:tabs>
        <w:tab w:val="center" w:pos="4320"/>
        <w:tab w:val="right" w:pos="8640"/>
      </w:tabs>
    </w:pPr>
    <w:rPr>
      <w:rFonts w:eastAsia="MS PGothic"/>
      <w:sz w:val="22"/>
      <w:lang w:val="en-US"/>
    </w:rPr>
  </w:style>
  <w:style w:type="character" w:customStyle="1" w:styleId="FooterChar">
    <w:name w:val="Footer Char"/>
    <w:link w:val="Footer"/>
    <w:rsid w:val="00E12C5D"/>
    <w:rPr>
      <w:rFonts w:ascii="Arial" w:hAnsi="Arial"/>
      <w:sz w:val="22"/>
    </w:rPr>
  </w:style>
  <w:style w:type="character" w:customStyle="1" w:styleId="Heading2Char">
    <w:name w:val="Heading 2 Char"/>
    <w:link w:val="Heading2"/>
    <w:uiPriority w:val="9"/>
    <w:rsid w:val="00D81AB6"/>
    <w:rPr>
      <w:rFonts w:ascii="Arial" w:eastAsia="MS PGothic" w:hAnsi="Arial" w:cs="Times New Roman"/>
      <w:b/>
      <w:bCs/>
      <w:color w:val="141313"/>
      <w:sz w:val="28"/>
      <w:szCs w:val="26"/>
      <w:lang w:val="en-GB"/>
    </w:rPr>
  </w:style>
  <w:style w:type="paragraph" w:customStyle="1" w:styleId="NECSDocumentTitle">
    <w:name w:val="NECS Document Title"/>
    <w:basedOn w:val="Heading1"/>
    <w:next w:val="BodyText"/>
    <w:qFormat/>
    <w:rsid w:val="00A97AA0"/>
    <w:pPr>
      <w:suppressAutoHyphens/>
      <w:spacing w:before="100"/>
    </w:pPr>
  </w:style>
  <w:style w:type="character" w:customStyle="1" w:styleId="Heading1Char">
    <w:name w:val="Heading 1 Char"/>
    <w:link w:val="Heading1"/>
    <w:uiPriority w:val="9"/>
    <w:rsid w:val="008E30B6"/>
    <w:rPr>
      <w:rFonts w:ascii="Arial" w:eastAsia="MS PGothic" w:hAnsi="Arial" w:cs="Times New Roman"/>
      <w:b/>
      <w:bCs/>
      <w:color w:val="005A9B"/>
      <w:sz w:val="32"/>
      <w:szCs w:val="32"/>
    </w:rPr>
  </w:style>
  <w:style w:type="paragraph" w:styleId="BodyText">
    <w:name w:val="Body Text"/>
    <w:basedOn w:val="Normal"/>
    <w:link w:val="BodyTextChar"/>
    <w:uiPriority w:val="99"/>
    <w:semiHidden/>
    <w:unhideWhenUsed/>
    <w:rsid w:val="00E07466"/>
    <w:rPr>
      <w:rFonts w:eastAsia="MS PGothic"/>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eastAsia="MS PGothic"/>
      <w:sz w:val="22"/>
      <w:lang w:val="en-US"/>
    </w:rPr>
  </w:style>
  <w:style w:type="character" w:customStyle="1" w:styleId="HeaderChar">
    <w:name w:val="Header Char"/>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eastAsia="MS PGothic"/>
      <w:i/>
      <w:iCs/>
      <w:color w:val="141313"/>
      <w:sz w:val="48"/>
    </w:rPr>
  </w:style>
  <w:style w:type="character" w:customStyle="1" w:styleId="SubtitleChar">
    <w:name w:val="Subtitle Char"/>
    <w:link w:val="Subtitle"/>
    <w:uiPriority w:val="11"/>
    <w:rsid w:val="00AF65D2"/>
    <w:rPr>
      <w:rFonts w:ascii="Arial" w:eastAsia="MS PGothic" w:hAnsi="Arial" w:cs="Times New Roman"/>
      <w:i/>
      <w:iCs/>
      <w:color w:val="141313"/>
      <w:sz w:val="48"/>
      <w:lang w:val="en-GB"/>
    </w:rPr>
  </w:style>
  <w:style w:type="paragraph" w:styleId="Title">
    <w:name w:val="Title"/>
    <w:basedOn w:val="Normal"/>
    <w:next w:val="Normal"/>
    <w:link w:val="TitleChar"/>
    <w:uiPriority w:val="10"/>
    <w:qFormat/>
    <w:rsid w:val="00516598"/>
    <w:pPr>
      <w:spacing w:after="0"/>
      <w:contextualSpacing/>
      <w:jc w:val="right"/>
    </w:pPr>
    <w:rPr>
      <w:rFonts w:eastAsia="MS PGothic"/>
      <w:color w:val="005A9B"/>
      <w:kern w:val="28"/>
      <w:sz w:val="72"/>
      <w:szCs w:val="52"/>
    </w:rPr>
  </w:style>
  <w:style w:type="character" w:customStyle="1" w:styleId="TitleChar">
    <w:name w:val="Title Char"/>
    <w:link w:val="Title"/>
    <w:uiPriority w:val="10"/>
    <w:rsid w:val="00516598"/>
    <w:rPr>
      <w:rFonts w:ascii="Arial" w:eastAsia="MS PGothic" w:hAnsi="Arial" w:cs="Times New Roman"/>
      <w:color w:val="005A9B"/>
      <w:kern w:val="28"/>
      <w:sz w:val="72"/>
      <w:szCs w:val="52"/>
      <w:lang w:val="en-GB"/>
    </w:rPr>
  </w:style>
  <w:style w:type="paragraph" w:styleId="ListParagraph">
    <w:name w:val="List Paragraph"/>
    <w:basedOn w:val="Normal"/>
    <w:uiPriority w:val="34"/>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paragraph" w:styleId="NormalWeb">
    <w:name w:val="Normal (Web)"/>
    <w:basedOn w:val="Normal"/>
    <w:uiPriority w:val="99"/>
    <w:semiHidden/>
    <w:unhideWhenUsed/>
    <w:rsid w:val="00F823C6"/>
    <w:pPr>
      <w:spacing w:after="0"/>
    </w:pPr>
    <w:rPr>
      <w:rFonts w:ascii="Times New Roman" w:hAnsi="Times New Roman"/>
      <w:lang w:eastAsia="en-GB"/>
    </w:rPr>
  </w:style>
  <w:style w:type="table" w:styleId="TableGrid">
    <w:name w:val="Table Grid"/>
    <w:basedOn w:val="TableNormal"/>
    <w:uiPriority w:val="59"/>
    <w:rsid w:val="0016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856">
      <w:bodyDiv w:val="1"/>
      <w:marLeft w:val="0"/>
      <w:marRight w:val="0"/>
      <w:marTop w:val="0"/>
      <w:marBottom w:val="0"/>
      <w:divBdr>
        <w:top w:val="none" w:sz="0" w:space="0" w:color="auto"/>
        <w:left w:val="none" w:sz="0" w:space="0" w:color="auto"/>
        <w:bottom w:val="none" w:sz="0" w:space="0" w:color="auto"/>
        <w:right w:val="none" w:sz="0" w:space="0" w:color="auto"/>
      </w:divBdr>
      <w:divsChild>
        <w:div w:id="1374113708">
          <w:marLeft w:val="0"/>
          <w:marRight w:val="0"/>
          <w:marTop w:val="0"/>
          <w:marBottom w:val="0"/>
          <w:divBdr>
            <w:top w:val="none" w:sz="0" w:space="0" w:color="auto"/>
            <w:left w:val="none" w:sz="0" w:space="0" w:color="auto"/>
            <w:bottom w:val="none" w:sz="0" w:space="0" w:color="auto"/>
            <w:right w:val="none" w:sz="0" w:space="0" w:color="auto"/>
          </w:divBdr>
          <w:divsChild>
            <w:div w:id="1101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720">
      <w:bodyDiv w:val="1"/>
      <w:marLeft w:val="0"/>
      <w:marRight w:val="0"/>
      <w:marTop w:val="0"/>
      <w:marBottom w:val="0"/>
      <w:divBdr>
        <w:top w:val="none" w:sz="0" w:space="0" w:color="auto"/>
        <w:left w:val="none" w:sz="0" w:space="0" w:color="auto"/>
        <w:bottom w:val="none" w:sz="0" w:space="0" w:color="auto"/>
        <w:right w:val="none" w:sz="0" w:space="0" w:color="auto"/>
      </w:divBdr>
    </w:div>
    <w:div w:id="1010064559">
      <w:bodyDiv w:val="1"/>
      <w:marLeft w:val="480"/>
      <w:marRight w:val="480"/>
      <w:marTop w:val="240"/>
      <w:marBottom w:val="240"/>
      <w:divBdr>
        <w:top w:val="none" w:sz="0" w:space="0" w:color="auto"/>
        <w:left w:val="none" w:sz="0" w:space="0" w:color="auto"/>
        <w:bottom w:val="none" w:sz="0" w:space="0" w:color="auto"/>
        <w:right w:val="none" w:sz="0" w:space="0" w:color="auto"/>
      </w:divBdr>
      <w:divsChild>
        <w:div w:id="1565875525">
          <w:marLeft w:val="0"/>
          <w:marRight w:val="0"/>
          <w:marTop w:val="0"/>
          <w:marBottom w:val="0"/>
          <w:divBdr>
            <w:top w:val="none" w:sz="0" w:space="0" w:color="auto"/>
            <w:left w:val="none" w:sz="0" w:space="0" w:color="auto"/>
            <w:bottom w:val="none" w:sz="0" w:space="0" w:color="auto"/>
            <w:right w:val="none" w:sz="0" w:space="0" w:color="auto"/>
          </w:divBdr>
          <w:divsChild>
            <w:div w:id="177744815">
              <w:marLeft w:val="0"/>
              <w:marRight w:val="0"/>
              <w:marTop w:val="0"/>
              <w:marBottom w:val="0"/>
              <w:divBdr>
                <w:top w:val="none" w:sz="0" w:space="0" w:color="auto"/>
                <w:left w:val="none" w:sz="0" w:space="0" w:color="auto"/>
                <w:bottom w:val="none" w:sz="0" w:space="0" w:color="auto"/>
                <w:right w:val="none" w:sz="0" w:space="0" w:color="auto"/>
              </w:divBdr>
              <w:divsChild>
                <w:div w:id="1315572000">
                  <w:marLeft w:val="0"/>
                  <w:marRight w:val="0"/>
                  <w:marTop w:val="0"/>
                  <w:marBottom w:val="0"/>
                  <w:divBdr>
                    <w:top w:val="none" w:sz="0" w:space="0" w:color="auto"/>
                    <w:left w:val="none" w:sz="0" w:space="0" w:color="auto"/>
                    <w:bottom w:val="none" w:sz="0" w:space="0" w:color="auto"/>
                    <w:right w:val="none" w:sz="0" w:space="0" w:color="auto"/>
                  </w:divBdr>
                  <w:divsChild>
                    <w:div w:id="1734809553">
                      <w:marLeft w:val="0"/>
                      <w:marRight w:val="0"/>
                      <w:marTop w:val="0"/>
                      <w:marBottom w:val="0"/>
                      <w:divBdr>
                        <w:top w:val="none" w:sz="0" w:space="0" w:color="auto"/>
                        <w:left w:val="none" w:sz="0" w:space="0" w:color="auto"/>
                        <w:bottom w:val="none" w:sz="0" w:space="0" w:color="auto"/>
                        <w:right w:val="none" w:sz="0" w:space="0" w:color="auto"/>
                      </w:divBdr>
                      <w:divsChild>
                        <w:div w:id="392894715">
                          <w:marLeft w:val="0"/>
                          <w:marRight w:val="0"/>
                          <w:marTop w:val="0"/>
                          <w:marBottom w:val="0"/>
                          <w:divBdr>
                            <w:top w:val="none" w:sz="0" w:space="0" w:color="auto"/>
                            <w:left w:val="none" w:sz="0" w:space="0" w:color="auto"/>
                            <w:bottom w:val="none" w:sz="0" w:space="0" w:color="auto"/>
                            <w:right w:val="none" w:sz="0" w:space="0" w:color="auto"/>
                          </w:divBdr>
                          <w:divsChild>
                            <w:div w:id="1308583260">
                              <w:marLeft w:val="0"/>
                              <w:marRight w:val="0"/>
                              <w:marTop w:val="0"/>
                              <w:marBottom w:val="0"/>
                              <w:divBdr>
                                <w:top w:val="none" w:sz="0" w:space="0" w:color="auto"/>
                                <w:left w:val="none" w:sz="0" w:space="0" w:color="auto"/>
                                <w:bottom w:val="none" w:sz="0" w:space="0" w:color="auto"/>
                                <w:right w:val="none" w:sz="0" w:space="0" w:color="auto"/>
                              </w:divBdr>
                              <w:divsChild>
                                <w:div w:id="1667321106">
                                  <w:marLeft w:val="0"/>
                                  <w:marRight w:val="0"/>
                                  <w:marTop w:val="0"/>
                                  <w:marBottom w:val="0"/>
                                  <w:divBdr>
                                    <w:top w:val="none" w:sz="0" w:space="0" w:color="auto"/>
                                    <w:left w:val="none" w:sz="0" w:space="0" w:color="auto"/>
                                    <w:bottom w:val="none" w:sz="0" w:space="0" w:color="auto"/>
                                    <w:right w:val="none" w:sz="0" w:space="0" w:color="auto"/>
                                  </w:divBdr>
                                  <w:divsChild>
                                    <w:div w:id="6014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876233">
      <w:bodyDiv w:val="1"/>
      <w:marLeft w:val="0"/>
      <w:marRight w:val="0"/>
      <w:marTop w:val="0"/>
      <w:marBottom w:val="0"/>
      <w:divBdr>
        <w:top w:val="none" w:sz="0" w:space="0" w:color="auto"/>
        <w:left w:val="none" w:sz="0" w:space="0" w:color="auto"/>
        <w:bottom w:val="none" w:sz="0" w:space="0" w:color="auto"/>
        <w:right w:val="none" w:sz="0" w:space="0" w:color="auto"/>
      </w:divBdr>
      <w:divsChild>
        <w:div w:id="390232795">
          <w:marLeft w:val="0"/>
          <w:marRight w:val="0"/>
          <w:marTop w:val="0"/>
          <w:marBottom w:val="0"/>
          <w:divBdr>
            <w:top w:val="none" w:sz="0" w:space="0" w:color="auto"/>
            <w:left w:val="none" w:sz="0" w:space="0" w:color="auto"/>
            <w:bottom w:val="none" w:sz="0" w:space="0" w:color="auto"/>
            <w:right w:val="none" w:sz="0" w:space="0" w:color="auto"/>
          </w:divBdr>
          <w:divsChild>
            <w:div w:id="11074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pa.org.uk/edt/February_2015/mindex.ht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www.diabetes.org.uk/Upload/Position%20statements/Draft%20position%20statement%20on%20sharps%20disposal%20Feb%2020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pa.org.uk/edt/February_2015/mi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ice.org.uk/guidance/indevelopment/gid-cgwave06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nuth-ras30\mcdermottd$\Diabetes\NECS\Chart%20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'[2]Data tables'!$B$1726</c:f>
          <c:strCache>
            <c:ptCount val="1"/>
            <c:pt idx="0">
              <c:v>April 2015: Needles for Pre-filled and Reusable Insulin Pens - cost of 100 needles</c:v>
            </c:pt>
          </c:strCache>
        </c:strRef>
      </c:tx>
      <c:layout>
        <c:manualLayout>
          <c:xMode val="edge"/>
          <c:yMode val="edge"/>
          <c:x val="0.10658307210031348"/>
          <c:y val="1.9586507072905331E-2"/>
        </c:manualLayout>
      </c:layout>
      <c:overlay val="0"/>
      <c:spPr>
        <a:noFill/>
        <a:ln w="25400">
          <a:noFill/>
        </a:ln>
      </c:spPr>
      <c:txPr>
        <a:bodyPr/>
        <a:lstStyle/>
        <a:p>
          <a:pPr>
            <a:defRPr sz="1200" b="1"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46865203761755486"/>
          <c:y val="8.8139281828073998E-2"/>
          <c:w val="0.49686520376175547"/>
          <c:h val="0.87051142546245919"/>
        </c:manualLayout>
      </c:layout>
      <c:barChart>
        <c:barDir val="bar"/>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('[2]Data tables'!$A$1776:$A$1782,'[2]Data tables'!$A$1785:$A$1799,'[2]Data tables'!$A$1802:$A$1817)</c:f>
              <c:strCache>
                <c:ptCount val="38"/>
                <c:pt idx="0">
                  <c:v>Omnican Fine 10mm/30G &amp; 12mm/29G</c:v>
                </c:pt>
                <c:pt idx="1">
                  <c:v>GlucoRx FinePoint 10mm/29G &amp; 12mm/29G</c:v>
                </c:pt>
                <c:pt idx="2">
                  <c:v>Comfort Point 12mm/29G</c:v>
                </c:pt>
                <c:pt idx="3">
                  <c:v>Insupen 12mm/29G</c:v>
                </c:pt>
                <c:pt idx="4">
                  <c:v>Unifine Pentips 12mm/29G</c:v>
                </c:pt>
                <c:pt idx="5">
                  <c:v>Mylife Clickfine 10mm/29G &amp; 12mm/29G</c:v>
                </c:pt>
                <c:pt idx="6">
                  <c:v>NovoFine 12mm/28G</c:v>
                </c:pt>
                <c:pt idx="7">
                  <c:v>Mylife Penfine Classic 8mm/31G</c:v>
                </c:pt>
                <c:pt idx="8">
                  <c:v>GlucoRx FinePoint 8mm/31G</c:v>
                </c:pt>
                <c:pt idx="9">
                  <c:v>Omnican Fine 8mm/31G</c:v>
                </c:pt>
                <c:pt idx="10">
                  <c:v>Microdot Droplet 8mm/31G</c:v>
                </c:pt>
                <c:pt idx="11">
                  <c:v>TriCare 6mm/31G &amp; 8mm/31G</c:v>
                </c:pt>
                <c:pt idx="12">
                  <c:v>Comfort Point 8mm/31G</c:v>
                </c:pt>
                <c:pt idx="13">
                  <c:v>NeedleBay Fine 8mm/31G</c:v>
                </c:pt>
                <c:pt idx="14">
                  <c:v>Insupen 8mm/31G</c:v>
                </c:pt>
                <c:pt idx="15">
                  <c:v>BD Micro-Fine+ 8mm/31G</c:v>
                </c:pt>
                <c:pt idx="16">
                  <c:v>Unifine Pentips Plus 8mm/31G</c:v>
                </c:pt>
                <c:pt idx="17">
                  <c:v>Unifine Pentips 8mm/31G</c:v>
                </c:pt>
                <c:pt idx="18">
                  <c:v>Mylife Clickfine 8mm/31G</c:v>
                </c:pt>
                <c:pt idx="19">
                  <c:v>NovoFine 8mm/30G</c:v>
                </c:pt>
                <c:pt idx="20">
                  <c:v>Mylife Clickfine AutoProtect 8mm/29G</c:v>
                </c:pt>
                <c:pt idx="21">
                  <c:v>NovoFine Autocover 8mm/30G</c:v>
                </c:pt>
                <c:pt idx="22">
                  <c:v>Mylife Penfine Classic 4mm/32G &amp; 6mm/32G</c:v>
                </c:pt>
                <c:pt idx="23">
                  <c:v>GlucoRx FinePoint 4mm/31G, Ultra 4mm/32G, 5mm/31G &amp; 6mm/31G</c:v>
                </c:pt>
                <c:pt idx="24">
                  <c:v>Microdot Droplet &amp; Omnican Fine 4mm &amp; 6mm</c:v>
                </c:pt>
                <c:pt idx="25">
                  <c:v>TriCare 4mm/32G &amp; 5mm/31G</c:v>
                </c:pt>
                <c:pt idx="26">
                  <c:v>NeedleBay Fine 4mm/32G &amp; 5mm/31G</c:v>
                </c:pt>
                <c:pt idx="27">
                  <c:v>Insupen 5mm/31G &amp; 6mm/31G</c:v>
                </c:pt>
                <c:pt idx="28">
                  <c:v>Unifine Pentips Plus 5mm/31G &amp; 6mm/31G</c:v>
                </c:pt>
                <c:pt idx="29">
                  <c:v>BD Micro-Fine Ultra 4mm/32G &amp; BD Micro-Fine+ 5mm/31G</c:v>
                </c:pt>
                <c:pt idx="30">
                  <c:v>Comfort Point 4mm/31G, 5mm/31G &amp; 6mm/31G</c:v>
                </c:pt>
                <c:pt idx="31">
                  <c:v>Unifine Pentips 4mm/32G &amp; 6mm/31G</c:v>
                </c:pt>
                <c:pt idx="32">
                  <c:v>Unifine Pentips 5mm/31G</c:v>
                </c:pt>
                <c:pt idx="33">
                  <c:v>Mylife Clickfine 4mm/32G</c:v>
                </c:pt>
                <c:pt idx="34">
                  <c:v>Mylife Clickfine 6mm/31G</c:v>
                </c:pt>
                <c:pt idx="35">
                  <c:v>NovoTwist 5mm/32G</c:v>
                </c:pt>
                <c:pt idx="36">
                  <c:v>NovoFine 6mm/31G</c:v>
                </c:pt>
                <c:pt idx="37">
                  <c:v>BD AutoShield Duo 5mm/30G</c:v>
                </c:pt>
              </c:strCache>
            </c:strRef>
          </c:cat>
          <c:val>
            <c:numRef>
              <c:f>('[2]Data tables'!$B$1776:$B$1782,'[2]Data tables'!$B$1785:$B$1799,'[2]Data tables'!$B$1802:$B$1817)</c:f>
              <c:numCache>
                <c:formatCode>"£"#,##0.00</c:formatCode>
                <c:ptCount val="38"/>
                <c:pt idx="0">
                  <c:v>5.95</c:v>
                </c:pt>
                <c:pt idx="1">
                  <c:v>5.95</c:v>
                </c:pt>
                <c:pt idx="2">
                  <c:v>6.6</c:v>
                </c:pt>
                <c:pt idx="3">
                  <c:v>7.11</c:v>
                </c:pt>
                <c:pt idx="4">
                  <c:v>8.25</c:v>
                </c:pt>
                <c:pt idx="5">
                  <c:v>9.11</c:v>
                </c:pt>
                <c:pt idx="6">
                  <c:v>9.4</c:v>
                </c:pt>
                <c:pt idx="7">
                  <c:v>5.94</c:v>
                </c:pt>
                <c:pt idx="8">
                  <c:v>5.95</c:v>
                </c:pt>
                <c:pt idx="9">
                  <c:v>5.95</c:v>
                </c:pt>
                <c:pt idx="10">
                  <c:v>5.95</c:v>
                </c:pt>
                <c:pt idx="11">
                  <c:v>5.95</c:v>
                </c:pt>
                <c:pt idx="12">
                  <c:v>6.6</c:v>
                </c:pt>
                <c:pt idx="13">
                  <c:v>6.95</c:v>
                </c:pt>
                <c:pt idx="14">
                  <c:v>7.11</c:v>
                </c:pt>
                <c:pt idx="15">
                  <c:v>7.9</c:v>
                </c:pt>
                <c:pt idx="16">
                  <c:v>7.9</c:v>
                </c:pt>
                <c:pt idx="17">
                  <c:v>8.25</c:v>
                </c:pt>
                <c:pt idx="18">
                  <c:v>9.11</c:v>
                </c:pt>
                <c:pt idx="19">
                  <c:v>9.24</c:v>
                </c:pt>
                <c:pt idx="20">
                  <c:v>19</c:v>
                </c:pt>
                <c:pt idx="21">
                  <c:v>22.28</c:v>
                </c:pt>
                <c:pt idx="22">
                  <c:v>5.94</c:v>
                </c:pt>
                <c:pt idx="23">
                  <c:v>5.95</c:v>
                </c:pt>
                <c:pt idx="24">
                  <c:v>5.95</c:v>
                </c:pt>
                <c:pt idx="25">
                  <c:v>5.95</c:v>
                </c:pt>
                <c:pt idx="26">
                  <c:v>6.95</c:v>
                </c:pt>
                <c:pt idx="27">
                  <c:v>7.11</c:v>
                </c:pt>
                <c:pt idx="28">
                  <c:v>8.69</c:v>
                </c:pt>
                <c:pt idx="29">
                  <c:v>9.69</c:v>
                </c:pt>
                <c:pt idx="30">
                  <c:v>9.9499999999999993</c:v>
                </c:pt>
                <c:pt idx="31">
                  <c:v>11.75</c:v>
                </c:pt>
                <c:pt idx="32">
                  <c:v>12</c:v>
                </c:pt>
                <c:pt idx="33">
                  <c:v>12.32</c:v>
                </c:pt>
                <c:pt idx="34">
                  <c:v>12.84</c:v>
                </c:pt>
                <c:pt idx="35">
                  <c:v>12.99</c:v>
                </c:pt>
                <c:pt idx="36">
                  <c:v>13.02</c:v>
                </c:pt>
                <c:pt idx="37">
                  <c:v>30.08</c:v>
                </c:pt>
              </c:numCache>
            </c:numRef>
          </c:val>
        </c:ser>
        <c:dLbls>
          <c:showLegendKey val="0"/>
          <c:showVal val="0"/>
          <c:showCatName val="0"/>
          <c:showSerName val="0"/>
          <c:showPercent val="0"/>
          <c:showBubbleSize val="0"/>
        </c:dLbls>
        <c:gapWidth val="50"/>
        <c:axId val="176431488"/>
        <c:axId val="199045120"/>
      </c:barChart>
      <c:catAx>
        <c:axId val="17643148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rtl="1">
              <a:defRPr sz="750" b="0" i="0" u="none" strike="noStrike" baseline="0">
                <a:solidFill>
                  <a:srgbClr val="000000"/>
                </a:solidFill>
                <a:latin typeface="Arial"/>
                <a:ea typeface="Arial"/>
                <a:cs typeface="Arial"/>
              </a:defRPr>
            </a:pPr>
            <a:endParaRPr lang="en-US"/>
          </a:p>
        </c:txPr>
        <c:crossAx val="199045120"/>
        <c:crosses val="autoZero"/>
        <c:auto val="1"/>
        <c:lblAlgn val="ctr"/>
        <c:lblOffset val="100"/>
        <c:tickLblSkip val="1"/>
        <c:tickMarkSkip val="1"/>
        <c:noMultiLvlLbl val="0"/>
      </c:catAx>
      <c:valAx>
        <c:axId val="199045120"/>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76431488"/>
        <c:crosses val="autoZero"/>
        <c:crossBetween val="between"/>
      </c:valAx>
      <c:spPr>
        <a:noFill/>
        <a:ln w="25400">
          <a:noFill/>
        </a:ln>
      </c:spPr>
    </c:plotArea>
    <c:plotVisOnly val="1"/>
    <c:dispBlanksAs val="gap"/>
    <c:showDLblsOverMax val="0"/>
  </c:chart>
  <c:spPr>
    <a:no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'[2]Data tables'!$B$2130</c:f>
          <c:strCache>
            <c:ptCount val="1"/>
            <c:pt idx="0">
              <c:v>April 2015: Blood lancets - cost of 100 lancets</c:v>
            </c:pt>
          </c:strCache>
        </c:strRef>
      </c:tx>
      <c:overlay val="0"/>
      <c:spPr>
        <a:noFill/>
        <a:ln w="25400">
          <a:noFill/>
        </a:ln>
      </c:spPr>
      <c:txPr>
        <a:bodyPr/>
        <a:lstStyle/>
        <a:p>
          <a:pPr>
            <a:defRPr sz="1200" b="1" i="0" u="none" strike="noStrike" baseline="0">
              <a:solidFill>
                <a:srgbClr val="000000"/>
              </a:solidFill>
              <a:latin typeface="Arial"/>
              <a:ea typeface="Arial"/>
              <a:cs typeface="Arial"/>
            </a:defRPr>
          </a:pPr>
          <a:endParaRPr lang="en-US"/>
        </a:p>
      </c:txPr>
    </c:title>
    <c:autoTitleDeleted val="0"/>
    <c:pivotFmts>
      <c:pivotFmt>
        <c:idx val="0"/>
        <c:spPr>
          <a:solidFill>
            <a:srgbClr val="9999FF"/>
          </a:solidFill>
          <a:ln w="12700">
            <a:solidFill>
              <a:srgbClr val="000000"/>
            </a:solidFill>
            <a:prstDash val="solid"/>
          </a:ln>
        </c:spPr>
        <c:marker>
          <c:symbol val="none"/>
        </c:marker>
        <c:dLbl>
          <c:idx val="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pivotFmt>
    </c:pivotFmts>
    <c:plotArea>
      <c:layout>
        <c:manualLayout>
          <c:layoutTarget val="inner"/>
          <c:xMode val="edge"/>
          <c:yMode val="edge"/>
          <c:x val="0.35841196924661706"/>
          <c:y val="4.8992810681273535E-2"/>
          <c:w val="0.60934125296600017"/>
          <c:h val="0.91584537258929588"/>
        </c:manualLayout>
      </c:layout>
      <c:barChart>
        <c:barDir val="bar"/>
        <c:grouping val="clustered"/>
        <c:varyColors val="0"/>
        <c:ser>
          <c:idx val="0"/>
          <c:order val="0"/>
          <c:spPr>
            <a:solidFill>
              <a:srgbClr val="9999FF"/>
            </a:solidFill>
            <a:ln w="12700">
              <a:solidFill>
                <a:srgbClr val="000000"/>
              </a:solidFill>
              <a:prstDash val="solid"/>
            </a:ln>
          </c:spPr>
          <c:invertIfNegative val="0"/>
          <c:dPt>
            <c:idx val="1"/>
            <c:invertIfNegative val="0"/>
            <c:bubble3D val="0"/>
            <c:spPr>
              <a:solidFill>
                <a:srgbClr val="339966"/>
              </a:solidFill>
              <a:ln w="12700">
                <a:solidFill>
                  <a:srgbClr val="000000"/>
                </a:solidFill>
                <a:prstDash val="solid"/>
              </a:ln>
            </c:spPr>
          </c:dPt>
          <c:dPt>
            <c:idx val="6"/>
            <c:invertIfNegative val="0"/>
            <c:bubble3D val="0"/>
            <c:spPr>
              <a:solidFill>
                <a:srgbClr val="339966"/>
              </a:solidFill>
              <a:ln w="12700">
                <a:solidFill>
                  <a:srgbClr val="000000"/>
                </a:solidFill>
                <a:prstDash val="solid"/>
              </a:ln>
            </c:spPr>
          </c:dPt>
          <c:dLbls>
            <c:numFmt formatCode="&quot;£&quot;#,##0.0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Sheet1!$A$8:$A$26</c:f>
              <c:strCache>
                <c:ptCount val="19"/>
                <c:pt idx="0">
                  <c:v>iCare Advanced lancets 0.38mm/30gauge</c:v>
                </c:pt>
                <c:pt idx="1">
                  <c:v>Apollo twist lancets 0.36mm/28gauge</c:v>
                </c:pt>
                <c:pt idx="2">
                  <c:v>Omnican Lance Soft 0.3mm/30gauge</c:v>
                </c:pt>
                <c:pt idx="3">
                  <c:v>GlucoRx lancets 0.31mm/30gauge</c:v>
                </c:pt>
                <c:pt idx="4">
                  <c:v>Mylife lancets 0.3mm/30gauge</c:v>
                </c:pt>
                <c:pt idx="5">
                  <c:v>Mylife lancets multicolour 0.3mm/30gauge</c:v>
                </c:pt>
                <c:pt idx="6">
                  <c:v>Unilet Eco lancets 0.375mm/28gauge</c:v>
                </c:pt>
                <c:pt idx="7">
                  <c:v>Vitrex Soft lancets 0.65mm/23gauge</c:v>
                </c:pt>
                <c:pt idx="8">
                  <c:v>Milward Steri-Let Lancets 0.66mm/23gauge</c:v>
                </c:pt>
                <c:pt idx="9">
                  <c:v>TRUEplus lancets 0.32mm/30gauge</c:v>
                </c:pt>
                <c:pt idx="10">
                  <c:v>FreeStyle lancets 0.5mm/28gauge</c:v>
                </c:pt>
                <c:pt idx="11">
                  <c:v>Microlet lancets 0.5mm/28gauge</c:v>
                </c:pt>
                <c:pt idx="12">
                  <c:v>Thin lancets 0.36mm/28gauge</c:v>
                </c:pt>
                <c:pt idx="13">
                  <c:v>OneTouch UltraSoft lancets 0.4mm/28gauge</c:v>
                </c:pt>
                <c:pt idx="14">
                  <c:v>OneTouch Comfort lancets 0.2mm/33gauge</c:v>
                </c:pt>
                <c:pt idx="15">
                  <c:v>Softclix lancets 0.4mm/28gauge</c:v>
                </c:pt>
                <c:pt idx="16">
                  <c:v>Multiclix lancets 0.3mm/30gauge</c:v>
                </c:pt>
                <c:pt idx="17">
                  <c:v>FastClix lancets 0.3mm/30gauge</c:v>
                </c:pt>
                <c:pt idx="18">
                  <c:v>Unistik 3 Comfort lancets 1.8mm/28gauge</c:v>
                </c:pt>
              </c:strCache>
            </c:strRef>
          </c:cat>
          <c:val>
            <c:numRef>
              <c:f>Sheet1!$B$8:$B$26</c:f>
              <c:numCache>
                <c:formatCode>"£"#,##0.00_);\("£"#,##0.00\)</c:formatCode>
                <c:ptCount val="19"/>
                <c:pt idx="0">
                  <c:v>2.2250000000000001</c:v>
                </c:pt>
                <c:pt idx="1">
                  <c:v>2.25</c:v>
                </c:pt>
                <c:pt idx="2">
                  <c:v>2.7250000000000001</c:v>
                </c:pt>
                <c:pt idx="3">
                  <c:v>2.75</c:v>
                </c:pt>
                <c:pt idx="4">
                  <c:v>2.75</c:v>
                </c:pt>
                <c:pt idx="5">
                  <c:v>2.75</c:v>
                </c:pt>
                <c:pt idx="6">
                  <c:v>2.7949999999999999</c:v>
                </c:pt>
                <c:pt idx="7">
                  <c:v>2.85</c:v>
                </c:pt>
                <c:pt idx="8">
                  <c:v>2.85</c:v>
                </c:pt>
                <c:pt idx="9">
                  <c:v>2.9</c:v>
                </c:pt>
                <c:pt idx="10">
                  <c:v>3.665</c:v>
                </c:pt>
                <c:pt idx="11">
                  <c:v>3.72</c:v>
                </c:pt>
                <c:pt idx="12">
                  <c:v>3.78</c:v>
                </c:pt>
                <c:pt idx="13">
                  <c:v>3.81</c:v>
                </c:pt>
                <c:pt idx="14">
                  <c:v>3.8149999999999999</c:v>
                </c:pt>
                <c:pt idx="15">
                  <c:v>3.91</c:v>
                </c:pt>
                <c:pt idx="16">
                  <c:v>4.7990196078431371</c:v>
                </c:pt>
                <c:pt idx="17">
                  <c:v>4.8186274509803919</c:v>
                </c:pt>
                <c:pt idx="18">
                  <c:v>6.17</c:v>
                </c:pt>
              </c:numCache>
            </c:numRef>
          </c:val>
        </c:ser>
        <c:dLbls>
          <c:showLegendKey val="0"/>
          <c:showVal val="0"/>
          <c:showCatName val="0"/>
          <c:showSerName val="0"/>
          <c:showPercent val="0"/>
          <c:showBubbleSize val="0"/>
        </c:dLbls>
        <c:gapWidth val="50"/>
        <c:axId val="199083520"/>
        <c:axId val="199085056"/>
      </c:barChart>
      <c:catAx>
        <c:axId val="1990835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9085056"/>
        <c:crosses val="autoZero"/>
        <c:auto val="0"/>
        <c:lblAlgn val="ctr"/>
        <c:lblOffset val="100"/>
        <c:tickLblSkip val="1"/>
        <c:tickMarkSkip val="1"/>
        <c:noMultiLvlLbl val="0"/>
      </c:catAx>
      <c:valAx>
        <c:axId val="199085056"/>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9083520"/>
        <c:crosses val="autoZero"/>
        <c:crossBetween val="between"/>
      </c:valAx>
      <c:spPr>
        <a:noFill/>
        <a:ln w="25400">
          <a:noFill/>
        </a:ln>
      </c:spPr>
    </c:plotArea>
    <c:plotVisOnly val="1"/>
    <c:dispBlanksAs val="gap"/>
    <c:showDLblsOverMax val="0"/>
  </c:chart>
  <c:spPr>
    <a:no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extLst/>
</c:chartSpace>
</file>

<file path=word/drawings/drawing1.xml><?xml version="1.0" encoding="utf-8"?>
<c:userShapes xmlns:c="http://schemas.openxmlformats.org/drawingml/2006/chart">
  <cdr:relSizeAnchor xmlns:cdr="http://schemas.openxmlformats.org/drawingml/2006/chartDrawing">
    <cdr:from>
      <cdr:x>0.01675</cdr:x>
      <cdr:y>0.014</cdr:y>
    </cdr:from>
    <cdr:to>
      <cdr:x>0.0215</cdr:x>
      <cdr:y>0.014</cdr:y>
    </cdr:to>
    <cdr:sp macro="" textlink="">
      <cdr:nvSpPr>
        <cdr:cNvPr id="1873921" name="Text Box 1"/>
        <cdr:cNvSpPr txBox="1">
          <a:spLocks xmlns:a="http://schemas.openxmlformats.org/drawingml/2006/main" noChangeArrowheads="1" noTextEdit="1"/>
        </cdr:cNvSpPr>
      </cdr:nvSpPr>
      <cdr:spPr bwMode="auto">
        <a:xfrm xmlns:a="http://schemas.openxmlformats.org/drawingml/2006/main">
          <a:off x="101789" y="122549"/>
          <a:ext cx="28865" cy="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22860" rIns="27432" bIns="0" anchor="t" upright="1"/>
        <a:lstStyle xmlns:a="http://schemas.openxmlformats.org/drawingml/2006/main"/>
        <a:p xmlns:a="http://schemas.openxmlformats.org/drawingml/2006/main">
          <a:pPr algn="r" rtl="0">
            <a:defRPr sz="1000"/>
          </a:pPr>
          <a:fld id="{76D99ACD-2749-4CB8-9F07-9A2287FDF3A3}" type="TxLink">
            <a:rPr lang="en-GB" sz="800" b="1" i="0" u="none" strike="noStrike" baseline="0">
              <a:solidFill>
                <a:srgbClr val="000000"/>
              </a:solidFill>
              <a:latin typeface="Arial"/>
              <a:cs typeface="Arial"/>
            </a:rPr>
            <a:pPr algn="r" rtl="0">
              <a:defRPr sz="1000"/>
            </a:pPr>
            <a:t>copyright © RDTC 2015</a:t>
          </a:fld>
          <a:endParaRPr lang="en-GB" sz="800" b="1" i="0" u="none" strike="noStrike" baseline="0">
            <a:solidFill>
              <a:srgbClr val="000000"/>
            </a:solidFill>
            <a:latin typeface="Arial"/>
            <a:cs typeface="Arial"/>
          </a:endParaRPr>
        </a:p>
      </cdr:txBody>
    </cdr:sp>
  </cdr:relSizeAnchor>
  <cdr:relSizeAnchor xmlns:cdr="http://schemas.openxmlformats.org/drawingml/2006/chartDrawing">
    <cdr:from>
      <cdr:x>0.00175</cdr:x>
      <cdr:y>0.00175</cdr:y>
    </cdr:from>
    <cdr:to>
      <cdr:x>0.01275</cdr:x>
      <cdr:y>0.0025</cdr:y>
    </cdr:to>
    <cdr:sp macro="" textlink="">
      <cdr:nvSpPr>
        <cdr:cNvPr id="1873922" name="Text Box 2"/>
        <cdr:cNvSpPr txBox="1">
          <a:spLocks xmlns:a="http://schemas.openxmlformats.org/drawingml/2006/main" noChangeArrowheads="1"/>
        </cdr:cNvSpPr>
      </cdr:nvSpPr>
      <cdr:spPr bwMode="auto">
        <a:xfrm xmlns:a="http://schemas.openxmlformats.org/drawingml/2006/main">
          <a:off x="10635" y="15319"/>
          <a:ext cx="66846" cy="65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GB" sz="1000" b="0" i="0" u="sng" strike="noStrike" baseline="0">
              <a:solidFill>
                <a:srgbClr val="000000"/>
              </a:solidFill>
              <a:latin typeface="Arial"/>
              <a:cs typeface="Arial"/>
            </a:rPr>
            <a:t>Registered trade names ®</a:t>
          </a:r>
        </a:p>
      </cdr:txBody>
    </cdr:sp>
  </cdr:relSizeAnchor>
  <cdr:relSizeAnchor xmlns:cdr="http://schemas.openxmlformats.org/drawingml/2006/chartDrawing">
    <cdr:from>
      <cdr:x>0</cdr:x>
      <cdr:y>0.0285</cdr:y>
    </cdr:from>
    <cdr:to>
      <cdr:x>0.01875</cdr:x>
      <cdr:y>0.03175</cdr:y>
    </cdr:to>
    <cdr:sp macro="" textlink="">
      <cdr:nvSpPr>
        <cdr:cNvPr id="1873923" name="Text Box 3"/>
        <cdr:cNvSpPr txBox="1">
          <a:spLocks xmlns:a="http://schemas.openxmlformats.org/drawingml/2006/main" noChangeArrowheads="1"/>
        </cdr:cNvSpPr>
      </cdr:nvSpPr>
      <cdr:spPr bwMode="auto">
        <a:xfrm xmlns:a="http://schemas.openxmlformats.org/drawingml/2006/main">
          <a:off x="0" y="249474"/>
          <a:ext cx="113943" cy="2844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GB" sz="800" b="0" i="0" u="none" strike="noStrike" baseline="0">
              <a:solidFill>
                <a:srgbClr val="000000"/>
              </a:solidFill>
              <a:latin typeface="Arial"/>
              <a:cs typeface="Arial"/>
            </a:rPr>
            <a:t>Needles may not be interchangeable - consult product literature</a:t>
          </a:r>
        </a:p>
      </cdr:txBody>
    </cdr:sp>
  </cdr:relSizeAnchor>
  <cdr:relSizeAnchor xmlns:cdr="http://schemas.openxmlformats.org/drawingml/2006/chartDrawing">
    <cdr:from>
      <cdr:x>0.46937</cdr:x>
      <cdr:y>0.08954</cdr:y>
    </cdr:from>
    <cdr:to>
      <cdr:x>0.5049</cdr:x>
      <cdr:y>0.45423</cdr:y>
    </cdr:to>
    <cdr:sp macro="" textlink="">
      <cdr:nvSpPr>
        <cdr:cNvPr id="1873925" name="Text Box 5"/>
        <cdr:cNvSpPr txBox="1">
          <a:spLocks xmlns:a="http://schemas.openxmlformats.org/drawingml/2006/main" noChangeArrowheads="1"/>
        </cdr:cNvSpPr>
      </cdr:nvSpPr>
      <cdr:spPr bwMode="auto">
        <a:xfrm xmlns:a="http://schemas.openxmlformats.org/drawingml/2006/main">
          <a:off x="2852737" y="784874"/>
          <a:ext cx="216000" cy="3196576"/>
        </a:xfrm>
        <a:prstGeom xmlns:a="http://schemas.openxmlformats.org/drawingml/2006/main" prst="rect">
          <a:avLst/>
        </a:prstGeom>
        <a:solidFill xmlns:a="http://schemas.openxmlformats.org/drawingml/2006/main">
          <a:srgbClr val="FFFFCC"/>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txBody>
        <a:bodyPr xmlns:a="http://schemas.openxmlformats.org/drawingml/2006/main" vertOverflow="clip" vert="vert270" wrap="square" lIns="27432" tIns="22860" rIns="27432" bIns="22860" anchor="ctr" upright="1"/>
        <a:lstStyle xmlns:a="http://schemas.openxmlformats.org/drawingml/2006/main"/>
        <a:p xmlns:a="http://schemas.openxmlformats.org/drawingml/2006/main">
          <a:pPr algn="ctr" rtl="0">
            <a:defRPr sz="1000"/>
          </a:pPr>
          <a:r>
            <a:rPr lang="en-GB" sz="1000" b="1" i="0" u="none" strike="noStrike" baseline="0">
              <a:solidFill>
                <a:srgbClr val="000000"/>
              </a:solidFill>
              <a:latin typeface="Arial"/>
              <a:cs typeface="Arial"/>
            </a:rPr>
            <a:t>4 to 6 mm Pen Needles</a:t>
          </a:r>
        </a:p>
      </cdr:txBody>
    </cdr:sp>
  </cdr:relSizeAnchor>
  <cdr:relSizeAnchor xmlns:cdr="http://schemas.openxmlformats.org/drawingml/2006/chartDrawing">
    <cdr:from>
      <cdr:x>0.46914</cdr:x>
      <cdr:y>0.45369</cdr:y>
    </cdr:from>
    <cdr:to>
      <cdr:x>0.50464</cdr:x>
      <cdr:y>0.79762</cdr:y>
    </cdr:to>
    <cdr:sp macro="" textlink="">
      <cdr:nvSpPr>
        <cdr:cNvPr id="1873926" name="Text Box 6"/>
        <cdr:cNvSpPr txBox="1">
          <a:spLocks xmlns:a="http://schemas.openxmlformats.org/drawingml/2006/main" noChangeArrowheads="1"/>
        </cdr:cNvSpPr>
      </cdr:nvSpPr>
      <cdr:spPr bwMode="auto">
        <a:xfrm xmlns:a="http://schemas.openxmlformats.org/drawingml/2006/main">
          <a:off x="2851354" y="3976689"/>
          <a:ext cx="215764" cy="3014662"/>
        </a:xfrm>
        <a:prstGeom xmlns:a="http://schemas.openxmlformats.org/drawingml/2006/main" prst="rect">
          <a:avLst/>
        </a:prstGeom>
        <a:solidFill xmlns:a="http://schemas.openxmlformats.org/drawingml/2006/main">
          <a:srgbClr val="99CCFF"/>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txBody>
        <a:bodyPr xmlns:a="http://schemas.openxmlformats.org/drawingml/2006/main" vertOverflow="clip" vert="vert270" wrap="square" lIns="27432" tIns="22860" rIns="27432" bIns="22860" anchor="ctr" upright="1"/>
        <a:lstStyle xmlns:a="http://schemas.openxmlformats.org/drawingml/2006/main"/>
        <a:p xmlns:a="http://schemas.openxmlformats.org/drawingml/2006/main">
          <a:pPr algn="ctr" rtl="0">
            <a:defRPr sz="1000"/>
          </a:pPr>
          <a:r>
            <a:rPr lang="en-GB" sz="1000" b="1" i="0" u="none" strike="noStrike" baseline="0">
              <a:solidFill>
                <a:srgbClr val="000000"/>
              </a:solidFill>
              <a:latin typeface="Arial"/>
              <a:cs typeface="Arial"/>
            </a:rPr>
            <a:t>8 mm Pen Needles</a:t>
          </a:r>
        </a:p>
      </cdr:txBody>
    </cdr:sp>
  </cdr:relSizeAnchor>
  <cdr:relSizeAnchor xmlns:cdr="http://schemas.openxmlformats.org/drawingml/2006/chartDrawing">
    <cdr:from>
      <cdr:x>0.46914</cdr:x>
      <cdr:y>0.79762</cdr:y>
    </cdr:from>
    <cdr:to>
      <cdr:x>0.50464</cdr:x>
      <cdr:y>0.95899</cdr:y>
    </cdr:to>
    <cdr:sp macro="" textlink="">
      <cdr:nvSpPr>
        <cdr:cNvPr id="1873927" name="Text Box 7"/>
        <cdr:cNvSpPr txBox="1">
          <a:spLocks xmlns:a="http://schemas.openxmlformats.org/drawingml/2006/main" noChangeArrowheads="1"/>
        </cdr:cNvSpPr>
      </cdr:nvSpPr>
      <cdr:spPr bwMode="auto">
        <a:xfrm xmlns:a="http://schemas.openxmlformats.org/drawingml/2006/main">
          <a:off x="2851354" y="6991350"/>
          <a:ext cx="215764" cy="1414463"/>
        </a:xfrm>
        <a:prstGeom xmlns:a="http://schemas.openxmlformats.org/drawingml/2006/main" prst="rect">
          <a:avLst/>
        </a:prstGeom>
        <a:solidFill xmlns:a="http://schemas.openxmlformats.org/drawingml/2006/main">
          <a:srgbClr val="FF99CC"/>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txBody>
        <a:bodyPr xmlns:a="http://schemas.openxmlformats.org/drawingml/2006/main" vertOverflow="clip" vert="vert270" wrap="square" lIns="27432" tIns="22860" rIns="27432" bIns="22860" anchor="ctr" upright="1"/>
        <a:lstStyle xmlns:a="http://schemas.openxmlformats.org/drawingml/2006/main"/>
        <a:p xmlns:a="http://schemas.openxmlformats.org/drawingml/2006/main">
          <a:pPr algn="ctr" rtl="0">
            <a:defRPr sz="1000"/>
          </a:pPr>
          <a:r>
            <a:rPr lang="en-GB" sz="1000" b="1" i="0" u="none" strike="noStrike" baseline="0">
              <a:solidFill>
                <a:srgbClr val="000000"/>
              </a:solidFill>
              <a:latin typeface="Arial"/>
              <a:cs typeface="Arial"/>
            </a:rPr>
            <a:t>12 mm Pen Needles</a:t>
          </a:r>
        </a:p>
      </cdr:txBody>
    </cdr:sp>
  </cdr:relSizeAnchor>
  <cdr:relSizeAnchor xmlns:cdr="http://schemas.openxmlformats.org/drawingml/2006/chartDrawing">
    <cdr:from>
      <cdr:x>0.01275</cdr:x>
      <cdr:y>0.97725</cdr:y>
    </cdr:from>
    <cdr:to>
      <cdr:x>0.50175</cdr:x>
      <cdr:y>0.998</cdr:y>
    </cdr:to>
    <cdr:sp macro="" textlink="">
      <cdr:nvSpPr>
        <cdr:cNvPr id="1873929" name="Text Box 9"/>
        <cdr:cNvSpPr txBox="1">
          <a:spLocks xmlns:a="http://schemas.openxmlformats.org/drawingml/2006/main" noChangeArrowheads="1"/>
        </cdr:cNvSpPr>
      </cdr:nvSpPr>
      <cdr:spPr bwMode="auto">
        <a:xfrm xmlns:a="http://schemas.openxmlformats.org/drawingml/2006/main">
          <a:off x="77481" y="8554333"/>
          <a:ext cx="2971629" cy="1816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GB" sz="800" b="0" i="0" u="none" strike="noStrike" baseline="0">
              <a:solidFill>
                <a:srgbClr val="000000"/>
              </a:solidFill>
              <a:latin typeface="Arial"/>
              <a:cs typeface="Arial"/>
            </a:rPr>
            <a:t>Needles may not be interchangeable - consult product literature</a:t>
          </a:r>
        </a:p>
      </cdr:txBody>
    </cdr:sp>
  </cdr:relSizeAnchor>
  <cdr:relSizeAnchor xmlns:cdr="http://schemas.openxmlformats.org/drawingml/2006/chartDrawing">
    <cdr:from>
      <cdr:x>0.76025</cdr:x>
      <cdr:y>0.97725</cdr:y>
    </cdr:from>
    <cdr:to>
      <cdr:x>1</cdr:x>
      <cdr:y>1</cdr:y>
    </cdr:to>
    <cdr:sp macro="" textlink="">
      <cdr:nvSpPr>
        <cdr:cNvPr id="1873934" name="Text Box 14"/>
        <cdr:cNvSpPr txBox="1">
          <a:spLocks xmlns:a="http://schemas.openxmlformats.org/drawingml/2006/main" noChangeArrowheads="1" noTextEdit="1"/>
        </cdr:cNvSpPr>
      </cdr:nvSpPr>
      <cdr:spPr bwMode="auto">
        <a:xfrm xmlns:a="http://schemas.openxmlformats.org/drawingml/2006/main">
          <a:off x="4620001" y="8554333"/>
          <a:ext cx="1456949"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22860" rIns="27432" bIns="0" anchor="t" upright="1"/>
        <a:lstStyle xmlns:a="http://schemas.openxmlformats.org/drawingml/2006/main"/>
        <a:p xmlns:a="http://schemas.openxmlformats.org/drawingml/2006/main">
          <a:pPr algn="r" rtl="0">
            <a:defRPr sz="1000"/>
          </a:pPr>
          <a:fld id="{3526F06E-1BE4-499E-A0CA-0A07E1DFD09C}" type="TxLink">
            <a:rPr lang="en-GB" sz="800" b="1" i="0" u="none" strike="noStrike" baseline="0">
              <a:solidFill>
                <a:srgbClr val="000000"/>
              </a:solidFill>
              <a:latin typeface="Arial"/>
              <a:cs typeface="Arial"/>
            </a:rPr>
            <a:pPr algn="r" rtl="0">
              <a:defRPr sz="1000"/>
            </a:pPr>
            <a:t>copyright © RDTC 2015</a:t>
          </a:fld>
          <a:endParaRPr lang="en-GB" sz="800" b="1" i="0" u="none" strike="noStrike" baseline="0">
            <a:solidFill>
              <a:srgbClr val="000000"/>
            </a:solidFill>
            <a:latin typeface="Arial"/>
            <a:cs typeface="Arial"/>
          </a:endParaRPr>
        </a:p>
      </cdr:txBody>
    </cdr:sp>
  </cdr:relSizeAnchor>
  <cdr:relSizeAnchor xmlns:cdr="http://schemas.openxmlformats.org/drawingml/2006/chartDrawing">
    <cdr:from>
      <cdr:x>0</cdr:x>
      <cdr:y>0.06204</cdr:y>
    </cdr:from>
    <cdr:to>
      <cdr:x>0.37375</cdr:x>
      <cdr:y>0.09722</cdr:y>
    </cdr:to>
    <cdr:sp macro="" textlink="">
      <cdr:nvSpPr>
        <cdr:cNvPr id="1873935" name="Text Box 15"/>
        <cdr:cNvSpPr txBox="1">
          <a:spLocks xmlns:a="http://schemas.openxmlformats.org/drawingml/2006/main" noChangeArrowheads="1"/>
        </cdr:cNvSpPr>
      </cdr:nvSpPr>
      <cdr:spPr bwMode="auto">
        <a:xfrm xmlns:a="http://schemas.openxmlformats.org/drawingml/2006/main">
          <a:off x="0" y="510528"/>
          <a:ext cx="2132659" cy="28957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GB" sz="1000" b="0" i="0" u="sng" strike="noStrike" baseline="0">
              <a:solidFill>
                <a:srgbClr val="000000"/>
              </a:solidFill>
              <a:latin typeface="Arial"/>
              <a:cs typeface="Arial"/>
            </a:rPr>
            <a:t>Registered trade names</a:t>
          </a:r>
          <a:r>
            <a:rPr lang="en-GB" sz="1400" b="0" i="0" u="sng" strike="noStrike" baseline="30000">
              <a:solidFill>
                <a:srgbClr val="000000"/>
              </a:solidFill>
              <a:latin typeface="Arial"/>
              <a:cs typeface="Arial"/>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0.76</cdr:x>
      <cdr:y>0.979</cdr:y>
    </cdr:from>
    <cdr:to>
      <cdr:x>0.9995</cdr:x>
      <cdr:y>0.99925</cdr:y>
    </cdr:to>
    <cdr:sp macro="" textlink="">
      <cdr:nvSpPr>
        <cdr:cNvPr id="2468865" name="Text Box 1"/>
        <cdr:cNvSpPr txBox="1">
          <a:spLocks xmlns:a="http://schemas.openxmlformats.org/drawingml/2006/main" noChangeArrowheads="1" noTextEdit="1"/>
        </cdr:cNvSpPr>
      </cdr:nvSpPr>
      <cdr:spPr bwMode="auto">
        <a:xfrm xmlns:a="http://schemas.openxmlformats.org/drawingml/2006/main">
          <a:off x="4618482" y="8569652"/>
          <a:ext cx="1455430" cy="1772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22860" rIns="27432" bIns="0" anchor="t" upright="1"/>
        <a:lstStyle xmlns:a="http://schemas.openxmlformats.org/drawingml/2006/main"/>
        <a:p xmlns:a="http://schemas.openxmlformats.org/drawingml/2006/main">
          <a:pPr algn="r" rtl="0">
            <a:defRPr sz="1000"/>
          </a:pPr>
          <a:fld id="{98388C5C-3039-4012-AA2F-201462ED5464}" type="TxLink">
            <a:rPr lang="en-GB" sz="800" b="1" i="0" u="none" strike="noStrike" baseline="0">
              <a:solidFill>
                <a:srgbClr val="000000"/>
              </a:solidFill>
              <a:latin typeface="Arial"/>
              <a:cs typeface="Arial"/>
            </a:rPr>
            <a:pPr algn="r" rtl="0">
              <a:defRPr sz="1000"/>
            </a:pPr>
            <a:t>copyright © RDTC 2015</a:t>
          </a:fld>
          <a:endParaRPr lang="en-GB" sz="800" b="1" i="0" u="none" strike="noStrike" baseline="0">
            <a:solidFill>
              <a:srgbClr val="000000"/>
            </a:solidFill>
            <a:latin typeface="Arial"/>
            <a:cs typeface="Arial"/>
          </a:endParaRPr>
        </a:p>
      </cdr:txBody>
    </cdr:sp>
  </cdr:relSizeAnchor>
  <cdr:relSizeAnchor xmlns:cdr="http://schemas.openxmlformats.org/drawingml/2006/chartDrawing">
    <cdr:from>
      <cdr:x>0</cdr:x>
      <cdr:y>0.03945</cdr:y>
    </cdr:from>
    <cdr:to>
      <cdr:x>0.39675</cdr:x>
      <cdr:y>0.06471</cdr:y>
    </cdr:to>
    <cdr:sp macro="" textlink="">
      <cdr:nvSpPr>
        <cdr:cNvPr id="2468866" name="Text Box 2"/>
        <cdr:cNvSpPr txBox="1">
          <a:spLocks xmlns:a="http://schemas.openxmlformats.org/drawingml/2006/main" noChangeArrowheads="1"/>
        </cdr:cNvSpPr>
      </cdr:nvSpPr>
      <cdr:spPr bwMode="auto">
        <a:xfrm xmlns:a="http://schemas.openxmlformats.org/drawingml/2006/main">
          <a:off x="0" y="324657"/>
          <a:ext cx="2267174" cy="20790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GB" sz="1000" b="0" i="0" u="sng" strike="noStrike" baseline="0">
              <a:solidFill>
                <a:srgbClr val="000000"/>
              </a:solidFill>
              <a:latin typeface="Arial"/>
              <a:cs typeface="Arial"/>
            </a:rPr>
            <a:t>Registered trade names </a:t>
          </a:r>
          <a:r>
            <a:rPr lang="en-GB" sz="1100" b="0" i="0" u="sng" strike="noStrike" baseline="30000">
              <a:solidFill>
                <a:srgbClr val="000000"/>
              </a:solidFill>
              <a:latin typeface="Arial"/>
              <a:cs typeface="Arial"/>
            </a:rPr>
            <a:t>®</a:t>
          </a:r>
          <a:endParaRPr lang="en-GB" sz="1000" b="0" i="0" u="sng" strike="noStrike" baseline="3000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orates xmlns="0eaeec75-6d18-4312-ab55-8192f9bdb519">
      <Value>1</Value>
    </Directorates>
    <IntranetPage xmlns="0eaeec75-6d18-4312-ab55-8192f9bdb519">
      <Value>16</Value>
    </IntranetPage>
    <SubDocumentType xmlns="0eaeec75-6d18-4312-ab55-8192f9bdb519" xsi:nil="true"/>
    <DocumentType xmlns="0eaeec75-6d18-4312-ab55-8192f9bdb519">2</DocumentType>
    <Teams xmlns="0eaeec75-6d18-4312-ab55-8192f9bdb519">
      <Value>9</Value>
    </Teams>
    <Synopsis xmlns="0eaeec75-6d18-4312-ab55-8192f9bdb519">New NECS Branding Version</Synopsi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V2.1" ma:contentTypeID="0x010100714BC3B5DDDDF248A9179AAE6356EB920041102169A011804D984E5B87C664B638" ma:contentTypeVersion="14" ma:contentTypeDescription="" ma:contentTypeScope="" ma:versionID="a22771e412eee241096c1ae04e8db6eb">
  <xsd:schema xmlns:xsd="http://www.w3.org/2001/XMLSchema" xmlns:xs="http://www.w3.org/2001/XMLSchema" xmlns:p="http://schemas.microsoft.com/office/2006/metadata/properties" xmlns:ns2="0eaeec75-6d18-4312-ab55-8192f9bdb519" targetNamespace="http://schemas.microsoft.com/office/2006/metadata/properties" ma:root="true" ma:fieldsID="7bd868be01f81665c76d98a9845837eb" ns2:_="">
    <xsd:import namespace="0eaeec75-6d18-4312-ab55-8192f9bdb519"/>
    <xsd:element name="properties">
      <xsd:complexType>
        <xsd:sequence>
          <xsd:element name="documentManagement">
            <xsd:complexType>
              <xsd:all>
                <xsd:element ref="ns2:Synopsis"/>
                <xsd:element ref="ns2:Directorates" minOccurs="0"/>
                <xsd:element ref="ns2:Teams" minOccurs="0"/>
                <xsd:element ref="ns2:IntranetPage" minOccurs="0"/>
                <xsd:element ref="ns2:DocumentType"/>
                <xsd:element ref="ns2:Sub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eec75-6d18-4312-ab55-8192f9bdb519" elementFormDefault="qualified">
    <xsd:import namespace="http://schemas.microsoft.com/office/2006/documentManagement/types"/>
    <xsd:import namespace="http://schemas.microsoft.com/office/infopath/2007/PartnerControls"/>
    <xsd:element name="Synopsis" ma:index="1" ma:displayName="Synopsis" ma:internalName="Synopsis">
      <xsd:simpleType>
        <xsd:restriction base="dms:Note">
          <xsd:maxLength value="255"/>
        </xsd:restriction>
      </xsd:simpleType>
    </xsd:element>
    <xsd:element name="Directorates" ma:index="2" nillable="true" ma:displayName="Directorates" ma:list="{e5d76c84-54d4-42b1-ba7b-e8d07675be59}" ma:internalName="Directorates" ma:readOnly="false" ma:showField="Title" ma:web="0eaeec75-6d18-4312-ab55-8192f9bdb519" ma:requiredMultiChoice="true">
      <xsd:complexType>
        <xsd:complexContent>
          <xsd:extension base="dms:MultiChoiceLookup">
            <xsd:sequence>
              <xsd:element name="Value" type="dms:Lookup" maxOccurs="unbounded" minOccurs="0" nillable="true"/>
            </xsd:sequence>
          </xsd:extension>
        </xsd:complexContent>
      </xsd:complexType>
    </xsd:element>
    <xsd:element name="Teams" ma:index="3" nillable="true" ma:displayName="Teams" ma:list="{47ffa071-d769-4123-906b-3bdcd017d120}" ma:internalName="Teams" ma:readOnly="false" ma:showField="Title" ma:web="0eaeec75-6d18-4312-ab55-8192f9bdb519" ma:requiredMultiChoice="true">
      <xsd:complexType>
        <xsd:complexContent>
          <xsd:extension base="dms:MultiChoiceLookup">
            <xsd:sequence>
              <xsd:element name="Value" type="dms:Lookup" maxOccurs="unbounded" minOccurs="0" nillable="true"/>
            </xsd:sequence>
          </xsd:extension>
        </xsd:complexContent>
      </xsd:complexType>
    </xsd:element>
    <xsd:element name="IntranetPage" ma:index="4" nillable="true" ma:displayName="IntranetPage" ma:list="{32a29b25-6085-4cc0-a9d5-0543f814ef31}" ma:internalName="IntranetPage" ma:readOnly="false" ma:showField="Title" ma:web="0eaeec75-6d18-4312-ab55-8192f9bdb519"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Type" ma:index="5" ma:displayName="DocumentType" ma:list="{80892274-0585-440b-9dd5-76f69f464588}" ma:internalName="DocumentType" ma:readOnly="false" ma:showField="Title" ma:web="0eaeec75-6d18-4312-ab55-8192f9bdb519">
      <xsd:simpleType>
        <xsd:restriction base="dms:Lookup"/>
      </xsd:simpleType>
    </xsd:element>
    <xsd:element name="SubDocumentType" ma:index="6" nillable="true" ma:displayName="SubDocumentType" ma:list="{36a479cf-4606-4ba8-b266-1cfe89e24e79}" ma:internalName="SubDocumentType" ma:showField="Title" ma:web="0eaeec75-6d18-4312-ab55-8192f9bdb51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14EE-94F5-4CF0-97DA-93F6055E5B13}">
  <ds:schemaRefs>
    <ds:schemaRef ds:uri="http://schemas.microsoft.com/office/2006/metadata/properties"/>
    <ds:schemaRef ds:uri="http://schemas.microsoft.com/office/infopath/2007/PartnerControls"/>
    <ds:schemaRef ds:uri="0eaeec75-6d18-4312-ab55-8192f9bdb519"/>
  </ds:schemaRefs>
</ds:datastoreItem>
</file>

<file path=customXml/itemProps2.xml><?xml version="1.0" encoding="utf-8"?>
<ds:datastoreItem xmlns:ds="http://schemas.openxmlformats.org/officeDocument/2006/customXml" ds:itemID="{F8D0E7A4-011D-4575-AE94-FD8C4A6CF5DD}">
  <ds:schemaRefs>
    <ds:schemaRef ds:uri="http://schemas.microsoft.com/sharepoint/v3/contenttype/forms"/>
  </ds:schemaRefs>
</ds:datastoreItem>
</file>

<file path=customXml/itemProps3.xml><?xml version="1.0" encoding="utf-8"?>
<ds:datastoreItem xmlns:ds="http://schemas.openxmlformats.org/officeDocument/2006/customXml" ds:itemID="{02A42403-5B37-44B3-9ACD-BB6DE8AE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eec75-6d18-4312-ab55-8192f9bdb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BCCEA-38C2-41A6-92A9-1024DB1C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BD</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Tees ICT Support Services</dc:creator>
  <cp:lastModifiedBy>Susan Hood</cp:lastModifiedBy>
  <cp:revision>2</cp:revision>
  <cp:lastPrinted>2015-06-22T12:10:00Z</cp:lastPrinted>
  <dcterms:created xsi:type="dcterms:W3CDTF">2015-06-30T13:49:00Z</dcterms:created>
  <dcterms:modified xsi:type="dcterms:W3CDTF">2015-06-30T13:49:00Z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0x010100714BC3B5DDDDF248A9179AAE6356EB920041102169A011804D984E5B87C664B638</vt:lpwstr>
  </property>
  <property fmtid="{D5CDD505-2E9C-101B-9397-08002B2CF9AE}" pid="3" name="Order">
    <vt:r8>41900</vt:r8>
  </property>
  <property fmtid="{D5CDD505-2E9C-101B-9397-08002B2CF9AE}" pid="4" name="Synopsis">
    <vt:lpwstr>New NECS Branding Version</vt:lpwstr>
  </property>
  <property fmtid="{D5CDD505-2E9C-101B-9397-08002B2CF9AE}" pid="5" name="Directorates">
    <vt:lpwstr>1;#</vt:lpwstr>
  </property>
  <property fmtid="{D5CDD505-2E9C-101B-9397-08002B2CF9AE}" pid="6" name="IntranetPage">
    <vt:lpwstr>16;#</vt:lpwstr>
  </property>
  <property fmtid="{D5CDD505-2E9C-101B-9397-08002B2CF9AE}" pid="7" name="SubDocumentType">
    <vt:lpwstr/>
  </property>
  <property fmtid="{D5CDD505-2E9C-101B-9397-08002B2CF9AE}" pid="8" name="DocumentType">
    <vt:lpwstr>2</vt:lpwstr>
  </property>
  <property fmtid="{D5CDD505-2E9C-101B-9397-08002B2CF9AE}" pid="9" name="Teams">
    <vt:lpwstr>9;#</vt:lpwstr>
  </property>
</Properties>
</file>