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FF" w:rsidRPr="006250FF" w:rsidRDefault="006250FF" w:rsidP="006250FF">
      <w:pPr>
        <w:jc w:val="right"/>
        <w:rPr>
          <w:sz w:val="20"/>
          <w:szCs w:val="20"/>
        </w:rPr>
      </w:pPr>
      <w:r w:rsidRPr="006250FF">
        <w:rPr>
          <w:sz w:val="20"/>
          <w:szCs w:val="20"/>
        </w:rPr>
        <w:t xml:space="preserve">[Insert Practice letterhead] </w:t>
      </w:r>
    </w:p>
    <w:p w:rsidR="006250FF" w:rsidRPr="006250FF" w:rsidRDefault="006250FF" w:rsidP="006250FF">
      <w:pPr>
        <w:rPr>
          <w:sz w:val="20"/>
          <w:szCs w:val="20"/>
        </w:rPr>
      </w:pPr>
      <w:r w:rsidRPr="006250FF">
        <w:rPr>
          <w:sz w:val="20"/>
          <w:szCs w:val="20"/>
        </w:rPr>
        <w:t>Dr [prescriber details]</w:t>
      </w:r>
    </w:p>
    <w:p w:rsidR="006250FF" w:rsidRPr="006250FF" w:rsidRDefault="006250FF" w:rsidP="006250FF">
      <w:pPr>
        <w:rPr>
          <w:sz w:val="20"/>
          <w:szCs w:val="20"/>
        </w:rPr>
      </w:pPr>
      <w:r w:rsidRPr="006250FF">
        <w:rPr>
          <w:sz w:val="20"/>
          <w:szCs w:val="20"/>
        </w:rPr>
        <w:t>[</w:t>
      </w:r>
      <w:proofErr w:type="gramStart"/>
      <w:r w:rsidRPr="006250FF">
        <w:rPr>
          <w:sz w:val="20"/>
          <w:szCs w:val="20"/>
        </w:rPr>
        <w:t>address</w:t>
      </w:r>
      <w:proofErr w:type="gramEnd"/>
      <w:r w:rsidRPr="006250FF">
        <w:rPr>
          <w:sz w:val="20"/>
          <w:szCs w:val="20"/>
        </w:rPr>
        <w:t>]                                                                                                                  [</w:t>
      </w:r>
      <w:proofErr w:type="spellStart"/>
      <w:r w:rsidRPr="006250FF">
        <w:rPr>
          <w:sz w:val="20"/>
          <w:szCs w:val="20"/>
        </w:rPr>
        <w:t>Datexxxx</w:t>
      </w:r>
      <w:proofErr w:type="spellEnd"/>
      <w:r w:rsidRPr="006250FF">
        <w:rPr>
          <w:sz w:val="20"/>
          <w:szCs w:val="20"/>
        </w:rPr>
        <w:t xml:space="preserve">]                                                                                                                 </w:t>
      </w:r>
    </w:p>
    <w:p w:rsidR="006250FF" w:rsidRPr="006250FF" w:rsidRDefault="006250FF" w:rsidP="006250FF">
      <w:pPr>
        <w:rPr>
          <w:sz w:val="20"/>
          <w:szCs w:val="20"/>
        </w:rPr>
      </w:pPr>
      <w:r w:rsidRPr="006250FF">
        <w:rPr>
          <w:sz w:val="20"/>
          <w:szCs w:val="20"/>
        </w:rPr>
        <w:t>Dear [Consultant</w:t>
      </w:r>
      <w:proofErr w:type="gramStart"/>
      <w:r w:rsidRPr="006250FF">
        <w:rPr>
          <w:sz w:val="20"/>
          <w:szCs w:val="20"/>
        </w:rPr>
        <w:t>] ,</w:t>
      </w:r>
      <w:proofErr w:type="gramEnd"/>
      <w:r w:rsidRPr="006250FF">
        <w:rPr>
          <w:sz w:val="20"/>
          <w:szCs w:val="20"/>
        </w:rPr>
        <w:t xml:space="preserve"> </w:t>
      </w:r>
    </w:p>
    <w:p w:rsidR="006250FF" w:rsidRPr="006250FF" w:rsidRDefault="006250FF" w:rsidP="006250FF">
      <w:pPr>
        <w:rPr>
          <w:sz w:val="20"/>
          <w:szCs w:val="20"/>
        </w:rPr>
      </w:pPr>
    </w:p>
    <w:p w:rsidR="006250FF" w:rsidRPr="006250FF" w:rsidRDefault="006250FF" w:rsidP="006250FF">
      <w:pPr>
        <w:rPr>
          <w:b/>
          <w:bCs/>
          <w:sz w:val="20"/>
          <w:szCs w:val="20"/>
        </w:rPr>
      </w:pPr>
      <w:r w:rsidRPr="006250FF">
        <w:rPr>
          <w:b/>
          <w:bCs/>
          <w:sz w:val="20"/>
          <w:szCs w:val="20"/>
        </w:rPr>
        <w:t>RE: Prescribing of  </w:t>
      </w:r>
      <w:bookmarkStart w:id="0" w:name="Text2"/>
      <w:bookmarkEnd w:id="0"/>
    </w:p>
    <w:p w:rsidR="006250FF" w:rsidRPr="006250FF" w:rsidRDefault="006250FF" w:rsidP="006250FF">
      <w:pPr>
        <w:rPr>
          <w:b/>
          <w:bCs/>
          <w:sz w:val="20"/>
          <w:szCs w:val="20"/>
        </w:rPr>
      </w:pPr>
      <w:r w:rsidRPr="006250FF">
        <w:rPr>
          <w:b/>
          <w:bCs/>
          <w:sz w:val="20"/>
          <w:szCs w:val="20"/>
        </w:rPr>
        <w:t>For ~[Title/Initial/Surname], [Date of Birth] [NHS Number]</w:t>
      </w:r>
    </w:p>
    <w:p w:rsidR="006250FF" w:rsidRPr="006250FF" w:rsidRDefault="006250FF" w:rsidP="006250FF">
      <w:pPr>
        <w:rPr>
          <w:sz w:val="20"/>
          <w:szCs w:val="20"/>
        </w:rPr>
      </w:pPr>
    </w:p>
    <w:p w:rsidR="006250FF" w:rsidRPr="006250FF" w:rsidRDefault="006250FF" w:rsidP="006250FF">
      <w:pPr>
        <w:rPr>
          <w:sz w:val="20"/>
          <w:szCs w:val="20"/>
        </w:rPr>
      </w:pPr>
      <w:r w:rsidRPr="006250FF">
        <w:rPr>
          <w:sz w:val="20"/>
          <w:szCs w:val="20"/>
        </w:rPr>
        <w:t xml:space="preserve">We have received a request for the above patient to be prescribed </w:t>
      </w:r>
      <w:bookmarkStart w:id="1" w:name="Text3"/>
      <w:bookmarkEnd w:id="1"/>
      <w:r w:rsidRPr="006250FF">
        <w:rPr>
          <w:sz w:val="20"/>
          <w:szCs w:val="20"/>
        </w:rPr>
        <w:t>[Insert drug details], which was initiated/suggested by yourself.</w:t>
      </w:r>
    </w:p>
    <w:p w:rsidR="006250FF" w:rsidRPr="006250FF" w:rsidRDefault="006250FF" w:rsidP="006250FF">
      <w:pPr>
        <w:rPr>
          <w:sz w:val="20"/>
          <w:szCs w:val="20"/>
        </w:rPr>
      </w:pPr>
    </w:p>
    <w:p w:rsidR="006250FF" w:rsidRPr="006250FF" w:rsidRDefault="006250FF" w:rsidP="006250FF">
      <w:pPr>
        <w:spacing w:after="240"/>
        <w:rPr>
          <w:sz w:val="20"/>
          <w:szCs w:val="20"/>
        </w:rPr>
      </w:pPr>
      <w:r w:rsidRPr="006250FF">
        <w:rPr>
          <w:sz w:val="20"/>
          <w:szCs w:val="20"/>
        </w:rPr>
        <w:t>Unfortunately, according to the North of Tyne Formulary this drug is: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716"/>
      </w:tblGrid>
      <w:tr w:rsidR="006250FF" w:rsidRPr="006250FF" w:rsidTr="006250FF"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FF" w:rsidRPr="006250FF" w:rsidRDefault="006250FF">
            <w:pPr>
              <w:rPr>
                <w:rFonts w:eastAsia="Times New Roman"/>
                <w:sz w:val="20"/>
                <w:szCs w:val="20"/>
              </w:rPr>
            </w:pPr>
            <w:bookmarkStart w:id="2" w:name="Check1"/>
            <w:bookmarkEnd w:id="2"/>
            <w:r w:rsidRPr="006250FF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91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FF" w:rsidRPr="006250FF" w:rsidRDefault="006250FF" w:rsidP="00E309DF">
            <w:pPr>
              <w:spacing w:after="240"/>
              <w:rPr>
                <w:sz w:val="20"/>
                <w:szCs w:val="20"/>
              </w:rPr>
            </w:pPr>
            <w:r w:rsidRPr="006250FF">
              <w:rPr>
                <w:b/>
                <w:bCs/>
                <w:sz w:val="20"/>
                <w:szCs w:val="20"/>
              </w:rPr>
              <w:t>Non-Formulary</w:t>
            </w:r>
            <w:r w:rsidRPr="006250FF">
              <w:rPr>
                <w:sz w:val="20"/>
                <w:szCs w:val="20"/>
              </w:rPr>
              <w:t xml:space="preserve"> –</w:t>
            </w:r>
            <w:r w:rsidR="00E309DF">
              <w:rPr>
                <w:sz w:val="20"/>
                <w:szCs w:val="20"/>
              </w:rPr>
              <w:t>T</w:t>
            </w:r>
            <w:r w:rsidRPr="006250FF">
              <w:rPr>
                <w:sz w:val="20"/>
                <w:szCs w:val="20"/>
              </w:rPr>
              <w:t xml:space="preserve">he APC states that </w:t>
            </w:r>
            <w:r w:rsidR="00FA4E8E">
              <w:rPr>
                <w:sz w:val="20"/>
                <w:szCs w:val="20"/>
                <w:u w:val="single"/>
              </w:rPr>
              <w:t>i</w:t>
            </w:r>
            <w:r w:rsidRPr="006250FF">
              <w:rPr>
                <w:sz w:val="20"/>
                <w:szCs w:val="20"/>
                <w:u w:val="single"/>
              </w:rPr>
              <w:t>n exceptional circumstances only</w:t>
            </w:r>
            <w:r w:rsidRPr="006250FF">
              <w:rPr>
                <w:sz w:val="20"/>
                <w:szCs w:val="20"/>
              </w:rPr>
              <w:t xml:space="preserve">, if a hospital doctor wishes a patient’s GP to prescribe a non-formulary drug, then he/she should explain to the GP that the desired treatment is not in the formulary and give the reason(s) why it is being requested instead of a formulary medicine. </w:t>
            </w:r>
            <w:bookmarkStart w:id="3" w:name="Text12"/>
            <w:bookmarkEnd w:id="3"/>
            <w:r w:rsidRPr="006250FF">
              <w:rPr>
                <w:sz w:val="20"/>
                <w:szCs w:val="20"/>
              </w:rPr>
              <w:t>     </w:t>
            </w:r>
          </w:p>
        </w:tc>
      </w:tr>
      <w:tr w:rsidR="006250FF" w:rsidRPr="006250FF" w:rsidTr="006250FF">
        <w:tc>
          <w:tcPr>
            <w:tcW w:w="5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FF" w:rsidRPr="006250FF" w:rsidRDefault="006250FF">
            <w:pPr>
              <w:rPr>
                <w:rFonts w:eastAsia="Times New Roman"/>
                <w:sz w:val="20"/>
                <w:szCs w:val="20"/>
              </w:rPr>
            </w:pPr>
            <w:bookmarkStart w:id="4" w:name="Check2"/>
            <w:bookmarkEnd w:id="4"/>
            <w:r w:rsidRPr="006250FF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FF" w:rsidRPr="006250FF" w:rsidRDefault="006250FF" w:rsidP="0038188B">
            <w:pPr>
              <w:spacing w:after="240"/>
              <w:ind w:left="-50"/>
              <w:rPr>
                <w:sz w:val="20"/>
                <w:szCs w:val="20"/>
              </w:rPr>
            </w:pPr>
            <w:r w:rsidRPr="006250FF">
              <w:rPr>
                <w:b/>
                <w:bCs/>
                <w:sz w:val="20"/>
                <w:szCs w:val="20"/>
              </w:rPr>
              <w:t>Not a first line agent</w:t>
            </w:r>
            <w:r w:rsidRPr="006250FF">
              <w:rPr>
                <w:sz w:val="20"/>
                <w:szCs w:val="20"/>
              </w:rPr>
              <w:t xml:space="preserve"> – the NoT formulary lists an alternate medication as first line treatment for this condition. </w:t>
            </w:r>
          </w:p>
        </w:tc>
        <w:bookmarkStart w:id="5" w:name="_GoBack"/>
        <w:bookmarkEnd w:id="5"/>
      </w:tr>
      <w:tr w:rsidR="006250FF" w:rsidRPr="006250FF" w:rsidTr="006250FF">
        <w:tc>
          <w:tcPr>
            <w:tcW w:w="5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FF" w:rsidRPr="006250FF" w:rsidRDefault="006250FF">
            <w:pPr>
              <w:rPr>
                <w:rFonts w:eastAsia="Times New Roman"/>
                <w:sz w:val="20"/>
                <w:szCs w:val="20"/>
              </w:rPr>
            </w:pPr>
            <w:bookmarkStart w:id="6" w:name="Check3"/>
            <w:bookmarkEnd w:id="6"/>
            <w:r w:rsidRPr="006250FF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FF" w:rsidRPr="006250FF" w:rsidRDefault="006250FF" w:rsidP="003D0221">
            <w:pPr>
              <w:spacing w:after="240"/>
              <w:rPr>
                <w:sz w:val="20"/>
                <w:szCs w:val="20"/>
              </w:rPr>
            </w:pPr>
            <w:r w:rsidRPr="006250FF">
              <w:rPr>
                <w:b/>
                <w:bCs/>
                <w:sz w:val="20"/>
                <w:szCs w:val="20"/>
              </w:rPr>
              <w:t>A Red Drug</w:t>
            </w:r>
            <w:r w:rsidRPr="006250FF">
              <w:rPr>
                <w:sz w:val="20"/>
                <w:szCs w:val="20"/>
              </w:rPr>
              <w:t xml:space="preserve"> - The APC states that drugs classified as “red drugs</w:t>
            </w:r>
            <w:r w:rsidR="009413D2">
              <w:rPr>
                <w:sz w:val="20"/>
                <w:szCs w:val="20"/>
              </w:rPr>
              <w:t>” are</w:t>
            </w:r>
            <w:r w:rsidRPr="006250FF">
              <w:rPr>
                <w:sz w:val="20"/>
                <w:szCs w:val="20"/>
              </w:rPr>
              <w:t xml:space="preserve"> for hospital use only and that the </w:t>
            </w:r>
            <w:r w:rsidRPr="006250FF">
              <w:rPr>
                <w:sz w:val="20"/>
                <w:szCs w:val="20"/>
                <w:u w:val="single"/>
              </w:rPr>
              <w:t>responsibility for initiation and monitoring</w:t>
            </w:r>
            <w:r w:rsidRPr="006250FF">
              <w:rPr>
                <w:sz w:val="20"/>
                <w:szCs w:val="20"/>
              </w:rPr>
              <w:t xml:space="preserve"> of treatment </w:t>
            </w:r>
            <w:r w:rsidRPr="006250FF">
              <w:rPr>
                <w:sz w:val="20"/>
                <w:szCs w:val="20"/>
                <w:u w:val="single"/>
              </w:rPr>
              <w:t>should rest with an appropriate hospital clinician</w:t>
            </w:r>
            <w:r w:rsidR="003D0221">
              <w:rPr>
                <w:sz w:val="20"/>
                <w:szCs w:val="20"/>
              </w:rPr>
              <w:t xml:space="preserve">. In </w:t>
            </w:r>
            <w:r w:rsidR="009413D2">
              <w:rPr>
                <w:sz w:val="20"/>
                <w:szCs w:val="20"/>
              </w:rPr>
              <w:t xml:space="preserve">addition </w:t>
            </w:r>
            <w:r w:rsidR="009413D2" w:rsidRPr="006250FF">
              <w:rPr>
                <w:sz w:val="20"/>
                <w:szCs w:val="20"/>
              </w:rPr>
              <w:t>the</w:t>
            </w:r>
            <w:r w:rsidRPr="006250FF">
              <w:rPr>
                <w:sz w:val="20"/>
                <w:szCs w:val="20"/>
              </w:rPr>
              <w:t xml:space="preserve"> drug should be supplied through the hospital throughout the duration of treatment. </w:t>
            </w:r>
            <w:bookmarkStart w:id="7" w:name="Text10"/>
            <w:bookmarkEnd w:id="7"/>
            <w:r w:rsidRPr="006250FF">
              <w:rPr>
                <w:sz w:val="20"/>
                <w:szCs w:val="20"/>
              </w:rPr>
              <w:t>     </w:t>
            </w:r>
          </w:p>
        </w:tc>
      </w:tr>
      <w:tr w:rsidR="006250FF" w:rsidRPr="006250FF" w:rsidTr="006250FF">
        <w:tc>
          <w:tcPr>
            <w:tcW w:w="5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FF" w:rsidRPr="006250FF" w:rsidRDefault="006250FF">
            <w:pPr>
              <w:rPr>
                <w:rFonts w:eastAsia="Times New Roman"/>
                <w:sz w:val="20"/>
                <w:szCs w:val="20"/>
              </w:rPr>
            </w:pPr>
            <w:bookmarkStart w:id="8" w:name="Check4"/>
            <w:bookmarkEnd w:id="8"/>
            <w:r w:rsidRPr="006250FF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8" w:rsidRPr="00145E58" w:rsidRDefault="006250FF" w:rsidP="00FE5400">
            <w:pPr>
              <w:autoSpaceDE w:val="0"/>
              <w:autoSpaceDN w:val="0"/>
              <w:spacing w:after="240"/>
              <w:rPr>
                <w:color w:val="0000FF"/>
                <w:sz w:val="20"/>
                <w:szCs w:val="20"/>
                <w:u w:val="single"/>
              </w:rPr>
            </w:pPr>
            <w:r w:rsidRPr="006250FF">
              <w:rPr>
                <w:b/>
                <w:bCs/>
                <w:sz w:val="20"/>
                <w:szCs w:val="20"/>
              </w:rPr>
              <w:t>An Amber Drug</w:t>
            </w:r>
            <w:r w:rsidRPr="006250FF">
              <w:rPr>
                <w:sz w:val="20"/>
                <w:szCs w:val="20"/>
              </w:rPr>
              <w:t xml:space="preserve"> – The APC state</w:t>
            </w:r>
            <w:r w:rsidR="00E309DF">
              <w:rPr>
                <w:sz w:val="20"/>
                <w:szCs w:val="20"/>
              </w:rPr>
              <w:t>s</w:t>
            </w:r>
            <w:r w:rsidRPr="006250FF">
              <w:rPr>
                <w:sz w:val="20"/>
                <w:szCs w:val="20"/>
              </w:rPr>
              <w:t xml:space="preserve"> that these </w:t>
            </w:r>
            <w:r w:rsidRPr="006250FF">
              <w:rPr>
                <w:sz w:val="20"/>
                <w:szCs w:val="20"/>
                <w:lang w:val="en"/>
              </w:rPr>
              <w:t xml:space="preserve">drugs </w:t>
            </w:r>
            <w:r w:rsidR="0038188B">
              <w:rPr>
                <w:sz w:val="20"/>
                <w:szCs w:val="20"/>
                <w:lang w:val="en"/>
              </w:rPr>
              <w:t xml:space="preserve">should </w:t>
            </w:r>
            <w:r w:rsidRPr="006250FF">
              <w:rPr>
                <w:sz w:val="20"/>
                <w:szCs w:val="20"/>
                <w:lang w:val="en"/>
              </w:rPr>
              <w:t>be initiated by</w:t>
            </w:r>
            <w:r w:rsidR="0038188B">
              <w:rPr>
                <w:sz w:val="20"/>
                <w:szCs w:val="20"/>
                <w:lang w:val="en"/>
              </w:rPr>
              <w:t xml:space="preserve"> a</w:t>
            </w:r>
            <w:r w:rsidRPr="006250FF">
              <w:rPr>
                <w:sz w:val="20"/>
                <w:szCs w:val="20"/>
                <w:lang w:val="en"/>
              </w:rPr>
              <w:t xml:space="preserve"> hospital specialist, </w:t>
            </w:r>
            <w:r w:rsidR="0038188B">
              <w:rPr>
                <w:sz w:val="20"/>
                <w:szCs w:val="20"/>
                <w:lang w:val="en"/>
              </w:rPr>
              <w:t xml:space="preserve">and </w:t>
            </w:r>
            <w:r w:rsidR="00E9634F">
              <w:rPr>
                <w:sz w:val="20"/>
                <w:szCs w:val="20"/>
                <w:lang w:val="en"/>
              </w:rPr>
              <w:t xml:space="preserve">an </w:t>
            </w:r>
            <w:r w:rsidR="0038188B">
              <w:rPr>
                <w:sz w:val="20"/>
                <w:szCs w:val="20"/>
                <w:lang w:val="en"/>
              </w:rPr>
              <w:t>outline</w:t>
            </w:r>
            <w:r w:rsidR="00E9634F">
              <w:rPr>
                <w:sz w:val="20"/>
                <w:szCs w:val="20"/>
                <w:lang w:val="en"/>
              </w:rPr>
              <w:t xml:space="preserve"> of</w:t>
            </w:r>
            <w:r w:rsidR="0038188B">
              <w:rPr>
                <w:sz w:val="20"/>
                <w:szCs w:val="20"/>
                <w:lang w:val="en"/>
              </w:rPr>
              <w:t xml:space="preserve"> the responsibilities of each partner </w:t>
            </w:r>
            <w:r w:rsidR="00E9634F">
              <w:rPr>
                <w:sz w:val="20"/>
                <w:szCs w:val="20"/>
                <w:lang w:val="en"/>
              </w:rPr>
              <w:t xml:space="preserve">set out </w:t>
            </w:r>
            <w:r w:rsidR="0038188B">
              <w:rPr>
                <w:sz w:val="20"/>
                <w:szCs w:val="20"/>
                <w:lang w:val="en"/>
              </w:rPr>
              <w:t xml:space="preserve">in </w:t>
            </w:r>
            <w:r w:rsidR="000F19BF">
              <w:rPr>
                <w:sz w:val="20"/>
                <w:szCs w:val="20"/>
                <w:lang w:val="en"/>
              </w:rPr>
              <w:t xml:space="preserve">a </w:t>
            </w:r>
            <w:r w:rsidR="0038188B">
              <w:rPr>
                <w:sz w:val="20"/>
                <w:szCs w:val="20"/>
                <w:lang w:val="en"/>
              </w:rPr>
              <w:t>shared care arrangement</w:t>
            </w:r>
            <w:r w:rsidR="00E9634F">
              <w:rPr>
                <w:sz w:val="20"/>
                <w:szCs w:val="20"/>
                <w:lang w:val="en"/>
              </w:rPr>
              <w:t xml:space="preserve">. </w:t>
            </w:r>
            <w:r w:rsidRPr="006250FF">
              <w:rPr>
                <w:sz w:val="20"/>
                <w:szCs w:val="20"/>
                <w:lang w:val="en"/>
              </w:rPr>
              <w:t xml:space="preserve"> .  </w:t>
            </w:r>
            <w:r w:rsidR="0038188B">
              <w:rPr>
                <w:sz w:val="20"/>
                <w:szCs w:val="20"/>
                <w:lang w:val="en"/>
              </w:rPr>
              <w:t xml:space="preserve">Prior to any request for primary care prescribing of these </w:t>
            </w:r>
            <w:proofErr w:type="gramStart"/>
            <w:r w:rsidR="0038188B">
              <w:rPr>
                <w:sz w:val="20"/>
                <w:szCs w:val="20"/>
                <w:lang w:val="en"/>
              </w:rPr>
              <w:t>drugs ,t</w:t>
            </w:r>
            <w:r w:rsidRPr="006250FF">
              <w:rPr>
                <w:sz w:val="20"/>
                <w:szCs w:val="20"/>
                <w:u w:val="single"/>
                <w:lang w:val="en"/>
              </w:rPr>
              <w:t>he</w:t>
            </w:r>
            <w:proofErr w:type="gramEnd"/>
            <w:r w:rsidRPr="006250FF">
              <w:rPr>
                <w:sz w:val="20"/>
                <w:szCs w:val="20"/>
                <w:u w:val="single"/>
                <w:lang w:val="en"/>
              </w:rPr>
              <w:t xml:space="preserve"> specialist should send the GP a copy of the shared care agreement to sign</w:t>
            </w:r>
            <w:r w:rsidRPr="006250FF">
              <w:rPr>
                <w:sz w:val="20"/>
                <w:szCs w:val="20"/>
                <w:lang w:val="en"/>
              </w:rPr>
              <w:t>. The GP should sign the shared care agreement, or indicate they do not want to be part of such an agreement, and return a copy back to the specialist</w:t>
            </w:r>
            <w:r w:rsidR="00E9634F">
              <w:rPr>
                <w:sz w:val="20"/>
                <w:szCs w:val="20"/>
                <w:lang w:val="en"/>
              </w:rPr>
              <w:t xml:space="preserve"> prior to commencing prescribing or monitoring </w:t>
            </w:r>
            <w:r w:rsidR="000F19BF">
              <w:rPr>
                <w:sz w:val="20"/>
                <w:szCs w:val="20"/>
                <w:lang w:val="en"/>
              </w:rPr>
              <w:t>responsibilities.</w:t>
            </w:r>
            <w:r w:rsidRPr="006250FF">
              <w:rPr>
                <w:sz w:val="20"/>
                <w:szCs w:val="20"/>
                <w:lang w:val="en"/>
              </w:rPr>
              <w:t xml:space="preserve"> </w:t>
            </w:r>
            <w:bookmarkStart w:id="9" w:name="Text9"/>
            <w:bookmarkEnd w:id="9"/>
            <w:r w:rsidRPr="006250FF">
              <w:rPr>
                <w:sz w:val="20"/>
                <w:szCs w:val="20"/>
                <w:lang w:val="en"/>
              </w:rPr>
              <w:t>     </w:t>
            </w:r>
          </w:p>
        </w:tc>
      </w:tr>
      <w:tr w:rsidR="006250FF" w:rsidRPr="006250FF" w:rsidTr="006250FF">
        <w:tc>
          <w:tcPr>
            <w:tcW w:w="5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FF" w:rsidRPr="006250FF" w:rsidRDefault="006250FF">
            <w:pPr>
              <w:rPr>
                <w:rFonts w:eastAsia="Times New Roman"/>
                <w:sz w:val="20"/>
                <w:szCs w:val="20"/>
              </w:rPr>
            </w:pPr>
            <w:bookmarkStart w:id="10" w:name="Check5"/>
            <w:bookmarkEnd w:id="10"/>
            <w:r w:rsidRPr="006250FF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8" w:rsidRPr="006250FF" w:rsidRDefault="006250FF" w:rsidP="00FE5400">
            <w:pPr>
              <w:spacing w:after="240"/>
              <w:rPr>
                <w:sz w:val="20"/>
                <w:szCs w:val="20"/>
              </w:rPr>
            </w:pPr>
            <w:r w:rsidRPr="006250FF">
              <w:rPr>
                <w:b/>
                <w:bCs/>
                <w:sz w:val="20"/>
                <w:szCs w:val="20"/>
              </w:rPr>
              <w:t>A Blue Drug - </w:t>
            </w:r>
            <w:r w:rsidRPr="006250FF">
              <w:rPr>
                <w:bCs/>
                <w:sz w:val="20"/>
                <w:szCs w:val="20"/>
              </w:rPr>
              <w:t>The</w:t>
            </w:r>
            <w:r w:rsidRPr="006250FF">
              <w:rPr>
                <w:sz w:val="20"/>
                <w:szCs w:val="20"/>
              </w:rPr>
              <w:t xml:space="preserve"> APC state that these drugs are normally initiated by</w:t>
            </w:r>
            <w:r w:rsidR="003D0221">
              <w:rPr>
                <w:sz w:val="20"/>
                <w:szCs w:val="20"/>
              </w:rPr>
              <w:t xml:space="preserve"> a</w:t>
            </w:r>
            <w:r w:rsidRPr="006250FF">
              <w:rPr>
                <w:sz w:val="20"/>
                <w:szCs w:val="20"/>
              </w:rPr>
              <w:t xml:space="preserve"> hospital specialist</w:t>
            </w:r>
            <w:r w:rsidR="0038188B">
              <w:rPr>
                <w:sz w:val="20"/>
                <w:szCs w:val="20"/>
              </w:rPr>
              <w:t xml:space="preserve">. Ongoing prescribing is appropriate in primary care </w:t>
            </w:r>
            <w:r w:rsidR="00AC075F">
              <w:rPr>
                <w:sz w:val="20"/>
                <w:szCs w:val="20"/>
              </w:rPr>
              <w:t xml:space="preserve">supported </w:t>
            </w:r>
            <w:r w:rsidR="00FE5400">
              <w:rPr>
                <w:sz w:val="20"/>
                <w:szCs w:val="20"/>
              </w:rPr>
              <w:t xml:space="preserve">either </w:t>
            </w:r>
            <w:r w:rsidR="00AC075F">
              <w:rPr>
                <w:sz w:val="20"/>
                <w:szCs w:val="20"/>
              </w:rPr>
              <w:t>by</w:t>
            </w:r>
            <w:r w:rsidRPr="006250FF">
              <w:rPr>
                <w:sz w:val="20"/>
                <w:szCs w:val="20"/>
              </w:rPr>
              <w:t xml:space="preserve"> an information leaflet</w:t>
            </w:r>
            <w:r w:rsidR="00ED5613">
              <w:rPr>
                <w:sz w:val="20"/>
                <w:szCs w:val="20"/>
              </w:rPr>
              <w:t>,</w:t>
            </w:r>
            <w:r w:rsidR="000F19BF">
              <w:rPr>
                <w:sz w:val="20"/>
                <w:szCs w:val="20"/>
              </w:rPr>
              <w:t xml:space="preserve"> where</w:t>
            </w:r>
            <w:r w:rsidR="003D0221">
              <w:rPr>
                <w:sz w:val="20"/>
                <w:szCs w:val="20"/>
              </w:rPr>
              <w:t xml:space="preserve"> one is available</w:t>
            </w:r>
            <w:r w:rsidR="00ED5613">
              <w:rPr>
                <w:sz w:val="20"/>
                <w:szCs w:val="20"/>
              </w:rPr>
              <w:t>,</w:t>
            </w:r>
            <w:r w:rsidR="003D0221">
              <w:rPr>
                <w:sz w:val="20"/>
                <w:szCs w:val="20"/>
              </w:rPr>
              <w:t xml:space="preserve"> or </w:t>
            </w:r>
            <w:r w:rsidR="00FE5400">
              <w:rPr>
                <w:sz w:val="20"/>
                <w:szCs w:val="20"/>
              </w:rPr>
              <w:t xml:space="preserve">with </w:t>
            </w:r>
            <w:r w:rsidR="003D0221">
              <w:rPr>
                <w:sz w:val="20"/>
                <w:szCs w:val="20"/>
              </w:rPr>
              <w:t>details from the SPC (summary of product characteristics)</w:t>
            </w:r>
            <w:r w:rsidR="000F19BF">
              <w:rPr>
                <w:sz w:val="20"/>
                <w:szCs w:val="20"/>
              </w:rPr>
              <w:t xml:space="preserve"> for the drug</w:t>
            </w:r>
            <w:r w:rsidR="00E309DF">
              <w:rPr>
                <w:sz w:val="20"/>
                <w:szCs w:val="20"/>
              </w:rPr>
              <w:t>.</w:t>
            </w:r>
            <w:r w:rsidR="00545D77">
              <w:rPr>
                <w:sz w:val="20"/>
                <w:szCs w:val="20"/>
              </w:rPr>
              <w:t xml:space="preserve"> Where a specific information leaflet has been produced these</w:t>
            </w:r>
            <w:r w:rsidR="00FE5400">
              <w:rPr>
                <w:sz w:val="20"/>
                <w:szCs w:val="20"/>
              </w:rPr>
              <w:t xml:space="preserve"> </w:t>
            </w:r>
            <w:r w:rsidR="000F19BF">
              <w:rPr>
                <w:sz w:val="20"/>
                <w:szCs w:val="20"/>
              </w:rPr>
              <w:t>outline</w:t>
            </w:r>
            <w:r w:rsidR="000F19BF" w:rsidRPr="006250FF">
              <w:rPr>
                <w:sz w:val="20"/>
                <w:szCs w:val="20"/>
              </w:rPr>
              <w:t xml:space="preserve"> </w:t>
            </w:r>
            <w:r w:rsidRPr="006250FF">
              <w:rPr>
                <w:sz w:val="20"/>
                <w:szCs w:val="20"/>
              </w:rPr>
              <w:t xml:space="preserve">the </w:t>
            </w:r>
            <w:r w:rsidR="00FE5400">
              <w:rPr>
                <w:sz w:val="20"/>
                <w:szCs w:val="20"/>
              </w:rPr>
              <w:t xml:space="preserve">place in therapy, and the </w:t>
            </w:r>
            <w:r w:rsidRPr="006250FF">
              <w:rPr>
                <w:sz w:val="20"/>
                <w:szCs w:val="20"/>
              </w:rPr>
              <w:t xml:space="preserve">responsibilities of the specialist prior to the </w:t>
            </w:r>
            <w:r w:rsidR="00E309DF">
              <w:rPr>
                <w:sz w:val="20"/>
                <w:szCs w:val="20"/>
              </w:rPr>
              <w:t xml:space="preserve">transfer of the </w:t>
            </w:r>
            <w:r w:rsidRPr="006250FF">
              <w:rPr>
                <w:sz w:val="20"/>
                <w:szCs w:val="20"/>
              </w:rPr>
              <w:t xml:space="preserve">prescribing to primary care. </w:t>
            </w:r>
          </w:p>
        </w:tc>
      </w:tr>
      <w:tr w:rsidR="006250FF" w:rsidRPr="006250FF" w:rsidTr="006250FF">
        <w:tc>
          <w:tcPr>
            <w:tcW w:w="5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FF" w:rsidRPr="006250FF" w:rsidRDefault="006250FF">
            <w:pPr>
              <w:rPr>
                <w:rFonts w:eastAsia="Times New Roman"/>
                <w:sz w:val="20"/>
                <w:szCs w:val="20"/>
              </w:rPr>
            </w:pPr>
            <w:bookmarkStart w:id="11" w:name="Check6"/>
            <w:bookmarkEnd w:id="11"/>
            <w:r w:rsidRPr="006250FF">
              <w:rPr>
                <w:rFonts w:eastAsia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5F" w:rsidRDefault="006250FF">
            <w:pPr>
              <w:rPr>
                <w:b/>
                <w:bCs/>
                <w:sz w:val="20"/>
                <w:szCs w:val="20"/>
              </w:rPr>
            </w:pPr>
            <w:r w:rsidRPr="006250FF">
              <w:rPr>
                <w:b/>
                <w:bCs/>
                <w:sz w:val="20"/>
                <w:szCs w:val="20"/>
              </w:rPr>
              <w:t>Unlicensed for this condition</w:t>
            </w:r>
            <w:r w:rsidR="00FD2D5A">
              <w:rPr>
                <w:b/>
                <w:bCs/>
                <w:sz w:val="20"/>
                <w:szCs w:val="20"/>
              </w:rPr>
              <w:t xml:space="preserve"> </w:t>
            </w:r>
            <w:r w:rsidRPr="006250FF">
              <w:rPr>
                <w:b/>
                <w:bCs/>
                <w:sz w:val="20"/>
                <w:szCs w:val="20"/>
              </w:rPr>
              <w:t>/ at this dose</w:t>
            </w:r>
          </w:p>
          <w:p w:rsidR="006250FF" w:rsidRPr="006250FF" w:rsidRDefault="00AC075F">
            <w:pPr>
              <w:rPr>
                <w:sz w:val="20"/>
                <w:szCs w:val="20"/>
              </w:rPr>
            </w:pPr>
            <w:r w:rsidRPr="00AC075F">
              <w:rPr>
                <w:bCs/>
                <w:sz w:val="20"/>
                <w:szCs w:val="20"/>
              </w:rPr>
              <w:t>Whilst this may be an appropriate use of this drug more information is needed</w:t>
            </w:r>
            <w:r>
              <w:rPr>
                <w:bCs/>
                <w:sz w:val="20"/>
                <w:szCs w:val="20"/>
              </w:rPr>
              <w:t xml:space="preserve"> before the clinician is happy to accept prescribing responsibilities</w:t>
            </w:r>
            <w:r w:rsidR="006250FF" w:rsidRPr="006250FF">
              <w:rPr>
                <w:sz w:val="20"/>
                <w:szCs w:val="20"/>
              </w:rPr>
              <w:t>.</w:t>
            </w:r>
          </w:p>
          <w:p w:rsidR="006250FF" w:rsidRPr="006250FF" w:rsidRDefault="006250FF">
            <w:pPr>
              <w:rPr>
                <w:sz w:val="20"/>
                <w:szCs w:val="20"/>
              </w:rPr>
            </w:pPr>
          </w:p>
        </w:tc>
      </w:tr>
    </w:tbl>
    <w:p w:rsidR="006250FF" w:rsidRPr="006250FF" w:rsidRDefault="00AC075F" w:rsidP="006250FF">
      <w:pPr>
        <w:rPr>
          <w:sz w:val="20"/>
          <w:szCs w:val="20"/>
        </w:rPr>
      </w:pPr>
      <w:r>
        <w:rPr>
          <w:sz w:val="20"/>
          <w:szCs w:val="20"/>
        </w:rPr>
        <w:t xml:space="preserve">At the present time, and with the information available to us, the practice is unwilling to </w:t>
      </w:r>
      <w:r w:rsidR="006250FF" w:rsidRPr="006250FF">
        <w:rPr>
          <w:sz w:val="20"/>
          <w:szCs w:val="20"/>
        </w:rPr>
        <w:t>prescribe the requested medication</w:t>
      </w:r>
      <w:r>
        <w:rPr>
          <w:sz w:val="20"/>
          <w:szCs w:val="20"/>
        </w:rPr>
        <w:t xml:space="preserve">. If you are able to </w:t>
      </w:r>
      <w:r w:rsidR="006250FF" w:rsidRPr="006250FF">
        <w:rPr>
          <w:sz w:val="20"/>
          <w:szCs w:val="20"/>
        </w:rPr>
        <w:t>provide us with the required information, documentation or a formulary alternative</w:t>
      </w:r>
      <w:r>
        <w:rPr>
          <w:sz w:val="20"/>
          <w:szCs w:val="20"/>
        </w:rPr>
        <w:t>, we may be able to reconsider this position</w:t>
      </w:r>
      <w:r w:rsidR="006250FF" w:rsidRPr="006250FF">
        <w:rPr>
          <w:sz w:val="20"/>
          <w:szCs w:val="20"/>
        </w:rPr>
        <w:t xml:space="preserve"> as appropriate.</w:t>
      </w:r>
    </w:p>
    <w:p w:rsidR="006250FF" w:rsidRPr="006250FF" w:rsidRDefault="006250FF" w:rsidP="006250FF">
      <w:pPr>
        <w:rPr>
          <w:sz w:val="20"/>
          <w:szCs w:val="20"/>
        </w:rPr>
      </w:pPr>
    </w:p>
    <w:p w:rsidR="006250FF" w:rsidRDefault="006250FF" w:rsidP="006250FF">
      <w:pPr>
        <w:rPr>
          <w:sz w:val="20"/>
          <w:szCs w:val="20"/>
        </w:rPr>
      </w:pPr>
      <w:r w:rsidRPr="006250FF">
        <w:rPr>
          <w:sz w:val="20"/>
          <w:szCs w:val="20"/>
        </w:rPr>
        <w:t xml:space="preserve">The </w:t>
      </w:r>
      <w:proofErr w:type="gramStart"/>
      <w:r w:rsidRPr="006250FF">
        <w:rPr>
          <w:sz w:val="20"/>
          <w:szCs w:val="20"/>
        </w:rPr>
        <w:t>NoT</w:t>
      </w:r>
      <w:proofErr w:type="gramEnd"/>
      <w:r w:rsidRPr="006250FF">
        <w:rPr>
          <w:sz w:val="20"/>
          <w:szCs w:val="20"/>
        </w:rPr>
        <w:t xml:space="preserve"> formulary can be found at: </w:t>
      </w:r>
      <w:hyperlink r:id="rId5" w:history="1">
        <w:r w:rsidR="00904BAF" w:rsidRPr="004603F2">
          <w:rPr>
            <w:rStyle w:val="Hyperlink"/>
            <w:rFonts w:ascii="Arial" w:hAnsi="Arial" w:cs="Arial"/>
            <w:sz w:val="20"/>
            <w:szCs w:val="20"/>
          </w:rPr>
          <w:t>http://www.northoftyneapc.nhs.uk/formulary/</w:t>
        </w:r>
      </w:hyperlink>
    </w:p>
    <w:p w:rsidR="00904BAF" w:rsidRPr="006250FF" w:rsidRDefault="00904BAF" w:rsidP="006250FF">
      <w:pPr>
        <w:rPr>
          <w:sz w:val="20"/>
          <w:szCs w:val="20"/>
        </w:rPr>
      </w:pPr>
    </w:p>
    <w:p w:rsidR="006250FF" w:rsidRDefault="006250FF" w:rsidP="006250FF">
      <w:bookmarkStart w:id="12" w:name="Text6"/>
      <w:bookmarkEnd w:id="12"/>
    </w:p>
    <w:p w:rsidR="006250FF" w:rsidRPr="006250FF" w:rsidRDefault="006250FF" w:rsidP="006250FF">
      <w:pPr>
        <w:rPr>
          <w:sz w:val="20"/>
          <w:szCs w:val="20"/>
        </w:rPr>
      </w:pPr>
      <w:r w:rsidRPr="006250FF">
        <w:rPr>
          <w:sz w:val="20"/>
          <w:szCs w:val="20"/>
        </w:rPr>
        <w:t>Yours sincerely,</w:t>
      </w:r>
    </w:p>
    <w:p w:rsidR="006250FF" w:rsidRPr="006250FF" w:rsidRDefault="006250FF" w:rsidP="006250FF">
      <w:pPr>
        <w:rPr>
          <w:sz w:val="20"/>
          <w:szCs w:val="20"/>
        </w:rPr>
      </w:pPr>
    </w:p>
    <w:p w:rsidR="003E6AF1" w:rsidRPr="006250FF" w:rsidRDefault="003E6AF1" w:rsidP="00ED5613">
      <w:pPr>
        <w:rPr>
          <w:sz w:val="20"/>
          <w:szCs w:val="20"/>
        </w:rPr>
      </w:pPr>
    </w:p>
    <w:sectPr w:rsidR="003E6AF1" w:rsidRPr="00625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FF"/>
    <w:rsid w:val="000F19BF"/>
    <w:rsid w:val="00145E58"/>
    <w:rsid w:val="0038188B"/>
    <w:rsid w:val="003D0221"/>
    <w:rsid w:val="003E6AF1"/>
    <w:rsid w:val="00545D77"/>
    <w:rsid w:val="006250FF"/>
    <w:rsid w:val="008A4C84"/>
    <w:rsid w:val="00904BAF"/>
    <w:rsid w:val="009413D2"/>
    <w:rsid w:val="00AC075F"/>
    <w:rsid w:val="00AC295A"/>
    <w:rsid w:val="00E309DF"/>
    <w:rsid w:val="00E9634F"/>
    <w:rsid w:val="00ED5613"/>
    <w:rsid w:val="00FA4E8E"/>
    <w:rsid w:val="00FD2D5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FF"/>
    <w:pPr>
      <w:spacing w:after="0" w:line="240" w:lineRule="auto"/>
    </w:pPr>
    <w:rPr>
      <w:rFonts w:ascii="Arial" w:eastAsia="Calibri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0FF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0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8E"/>
    <w:rPr>
      <w:rFonts w:ascii="Tahoma" w:eastAsia="Calibri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0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9DF"/>
    <w:rPr>
      <w:rFonts w:ascii="Arial" w:eastAsia="Calibri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9DF"/>
    <w:rPr>
      <w:rFonts w:ascii="Arial" w:eastAsia="Calibri" w:hAnsi="Arial" w:cs="Arial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FF"/>
    <w:pPr>
      <w:spacing w:after="0" w:line="240" w:lineRule="auto"/>
    </w:pPr>
    <w:rPr>
      <w:rFonts w:ascii="Arial" w:eastAsia="Calibri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0FF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0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8E"/>
    <w:rPr>
      <w:rFonts w:ascii="Tahoma" w:eastAsia="Calibri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0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9DF"/>
    <w:rPr>
      <w:rFonts w:ascii="Arial" w:eastAsia="Calibri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9DF"/>
    <w:rPr>
      <w:rFonts w:ascii="Arial" w:eastAsia="Calibri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oftyneapc.nhs.uk/formul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Claire - North of Tyne</dc:creator>
  <cp:lastModifiedBy>Bateman Sarah</cp:lastModifiedBy>
  <cp:revision>2</cp:revision>
  <dcterms:created xsi:type="dcterms:W3CDTF">2014-08-06T11:17:00Z</dcterms:created>
  <dcterms:modified xsi:type="dcterms:W3CDTF">2014-08-06T11:17:00Z</dcterms:modified>
</cp:coreProperties>
</file>