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C05D8" w14:textId="77777777" w:rsidR="004B758C" w:rsidRDefault="00255C11" w:rsidP="008E30B6">
      <w:r w:rsidRPr="00255C11">
        <w:rPr>
          <w:noProof/>
        </w:rPr>
        <w:drawing>
          <wp:anchor distT="0" distB="0" distL="114300" distR="114300" simplePos="0" relativeHeight="251568640" behindDoc="0" locked="0" layoutInCell="1" allowOverlap="1" wp14:anchorId="0A82BD25" wp14:editId="549EFC99">
            <wp:simplePos x="0" y="0"/>
            <wp:positionH relativeFrom="column">
              <wp:posOffset>5408378</wp:posOffset>
            </wp:positionH>
            <wp:positionV relativeFrom="paragraph">
              <wp:posOffset>-189865</wp:posOffset>
            </wp:positionV>
            <wp:extent cx="858520" cy="349250"/>
            <wp:effectExtent l="0" t="0" r="508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 Col. Logo.jpg"/>
                    <pic:cNvPicPr/>
                  </pic:nvPicPr>
                  <pic:blipFill>
                    <a:blip r:embed="rId12">
                      <a:extLst>
                        <a:ext uri="{28A0092B-C50C-407E-A947-70E740481C1C}">
                          <a14:useLocalDpi xmlns:a14="http://schemas.microsoft.com/office/drawing/2010/main" val="0"/>
                        </a:ext>
                      </a:extLst>
                    </a:blip>
                    <a:stretch>
                      <a:fillRect/>
                    </a:stretch>
                  </pic:blipFill>
                  <pic:spPr>
                    <a:xfrm>
                      <a:off x="0" y="0"/>
                      <a:ext cx="858520" cy="349250"/>
                    </a:xfrm>
                    <a:prstGeom prst="rect">
                      <a:avLst/>
                    </a:prstGeom>
                  </pic:spPr>
                </pic:pic>
              </a:graphicData>
            </a:graphic>
            <wp14:sizeRelH relativeFrom="page">
              <wp14:pctWidth>0</wp14:pctWidth>
            </wp14:sizeRelH>
            <wp14:sizeRelV relativeFrom="page">
              <wp14:pctHeight>0</wp14:pctHeight>
            </wp14:sizeRelV>
          </wp:anchor>
        </w:drawing>
      </w:r>
      <w:r w:rsidRPr="00255C11">
        <w:rPr>
          <w:noProof/>
        </w:rPr>
        <w:drawing>
          <wp:anchor distT="0" distB="0" distL="114300" distR="114300" simplePos="0" relativeHeight="251826688" behindDoc="0" locked="0" layoutInCell="1" allowOverlap="1" wp14:anchorId="724D5059" wp14:editId="1B104D36">
            <wp:simplePos x="0" y="0"/>
            <wp:positionH relativeFrom="column">
              <wp:posOffset>-45913</wp:posOffset>
            </wp:positionH>
            <wp:positionV relativeFrom="paragraph">
              <wp:posOffset>-308858</wp:posOffset>
            </wp:positionV>
            <wp:extent cx="2918848" cy="65308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CS care system support graphic.jp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2918848" cy="653082"/>
                    </a:xfrm>
                    <a:prstGeom prst="rect">
                      <a:avLst/>
                    </a:prstGeom>
                  </pic:spPr>
                </pic:pic>
              </a:graphicData>
            </a:graphic>
            <wp14:sizeRelH relativeFrom="page">
              <wp14:pctWidth>0</wp14:pctWidth>
            </wp14:sizeRelH>
            <wp14:sizeRelV relativeFrom="page">
              <wp14:pctHeight>0</wp14:pctHeight>
            </wp14:sizeRelV>
          </wp:anchor>
        </w:drawing>
      </w:r>
      <w:r w:rsidRPr="00255C11">
        <w:rPr>
          <w:noProof/>
        </w:rPr>
        <w:drawing>
          <wp:anchor distT="0" distB="0" distL="114300" distR="114300" simplePos="0" relativeHeight="251745792" behindDoc="0" locked="0" layoutInCell="1" allowOverlap="1" wp14:anchorId="5B6ED33A" wp14:editId="45AA4444">
            <wp:simplePos x="0" y="0"/>
            <wp:positionH relativeFrom="column">
              <wp:posOffset>5681345</wp:posOffset>
            </wp:positionH>
            <wp:positionV relativeFrom="paragraph">
              <wp:posOffset>-1810385</wp:posOffset>
            </wp:positionV>
            <wp:extent cx="749300" cy="304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S Col. Logo.jpg"/>
                    <pic:cNvPicPr/>
                  </pic:nvPicPr>
                  <pic:blipFill>
                    <a:blip r:embed="rId12">
                      <a:extLst>
                        <a:ext uri="{28A0092B-C50C-407E-A947-70E740481C1C}">
                          <a14:useLocalDpi xmlns:a14="http://schemas.microsoft.com/office/drawing/2010/main" val="0"/>
                        </a:ext>
                      </a:extLst>
                    </a:blip>
                    <a:stretch>
                      <a:fillRect/>
                    </a:stretch>
                  </pic:blipFill>
                  <pic:spPr>
                    <a:xfrm>
                      <a:off x="0" y="0"/>
                      <a:ext cx="749300" cy="304800"/>
                    </a:xfrm>
                    <a:prstGeom prst="rect">
                      <a:avLst/>
                    </a:prstGeom>
                  </pic:spPr>
                </pic:pic>
              </a:graphicData>
            </a:graphic>
            <wp14:sizeRelH relativeFrom="page">
              <wp14:pctWidth>0</wp14:pctWidth>
            </wp14:sizeRelH>
            <wp14:sizeRelV relativeFrom="page">
              <wp14:pctHeight>0</wp14:pctHeight>
            </wp14:sizeRelV>
          </wp:anchor>
        </w:drawing>
      </w:r>
    </w:p>
    <w:p w14:paraId="18091BD1" w14:textId="77777777" w:rsidR="004B758C" w:rsidRDefault="004B758C" w:rsidP="008E30B6"/>
    <w:p w14:paraId="307CED94" w14:textId="5069CC03" w:rsidR="00622163" w:rsidRPr="00F903D1" w:rsidRDefault="00255C11" w:rsidP="006D0490">
      <w:pPr>
        <w:jc w:val="center"/>
        <w:rPr>
          <w:b/>
          <w:bCs/>
          <w:color w:val="0070C0"/>
          <w:sz w:val="28"/>
          <w:szCs w:val="28"/>
        </w:rPr>
      </w:pPr>
      <w:r w:rsidRPr="00255C11">
        <w:rPr>
          <w:noProof/>
        </w:rPr>
        <w:drawing>
          <wp:anchor distT="0" distB="0" distL="114300" distR="114300" simplePos="0" relativeHeight="251571712" behindDoc="0" locked="0" layoutInCell="1" allowOverlap="1" wp14:anchorId="3009C9A2" wp14:editId="02891908">
            <wp:simplePos x="0" y="0"/>
            <wp:positionH relativeFrom="column">
              <wp:posOffset>0</wp:posOffset>
            </wp:positionH>
            <wp:positionV relativeFrom="paragraph">
              <wp:posOffset>9525635</wp:posOffset>
            </wp:positionV>
            <wp:extent cx="2545715" cy="5695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CS care system support graphic.jp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2545715" cy="569595"/>
                    </a:xfrm>
                    <a:prstGeom prst="rect">
                      <a:avLst/>
                    </a:prstGeom>
                  </pic:spPr>
                </pic:pic>
              </a:graphicData>
            </a:graphic>
            <wp14:sizeRelH relativeFrom="page">
              <wp14:pctWidth>0</wp14:pctWidth>
            </wp14:sizeRelH>
            <wp14:sizeRelV relativeFrom="page">
              <wp14:pctHeight>0</wp14:pctHeight>
            </wp14:sizeRelV>
          </wp:anchor>
        </w:drawing>
      </w:r>
      <w:r w:rsidR="004B758C" w:rsidRPr="00305B32">
        <w:rPr>
          <w:b/>
          <w:bCs/>
          <w:color w:val="0070C0"/>
        </w:rPr>
        <w:t xml:space="preserve"> </w:t>
      </w:r>
      <w:r w:rsidR="00F903D1" w:rsidRPr="00F903D1">
        <w:rPr>
          <w:b/>
          <w:bCs/>
          <w:color w:val="0070C0"/>
          <w:sz w:val="28"/>
          <w:szCs w:val="28"/>
        </w:rPr>
        <w:t>Use of cost-comparison charts to support prescribing cost savings.</w:t>
      </w:r>
    </w:p>
    <w:p w14:paraId="48EB5802" w14:textId="77777777" w:rsidR="006D0490" w:rsidRDefault="006D0490" w:rsidP="006D0490"/>
    <w:p w14:paraId="1712D278" w14:textId="77777777" w:rsidR="00F903D1" w:rsidRPr="00F903D1" w:rsidRDefault="00F903D1" w:rsidP="00F903D1">
      <w:pPr>
        <w:rPr>
          <w:sz w:val="20"/>
          <w:szCs w:val="20"/>
        </w:rPr>
      </w:pPr>
      <w:r w:rsidRPr="00F903D1">
        <w:rPr>
          <w:sz w:val="20"/>
          <w:szCs w:val="20"/>
        </w:rPr>
        <w:t>Sources of cost-comparison data to help GP practices identify possible prescribing cost savings include Open Prescribing, Regional Drug and Therapeutic Centre (RDTC) cost comparison charts, and PrescQipp bulletins, amongst others.</w:t>
      </w:r>
    </w:p>
    <w:p w14:paraId="4820FF83" w14:textId="77777777" w:rsidR="00F903D1" w:rsidRPr="00F903D1" w:rsidRDefault="00F903D1" w:rsidP="00F903D1">
      <w:pPr>
        <w:rPr>
          <w:sz w:val="20"/>
          <w:szCs w:val="20"/>
        </w:rPr>
      </w:pPr>
      <w:r w:rsidRPr="00F903D1">
        <w:rPr>
          <w:sz w:val="20"/>
          <w:szCs w:val="20"/>
        </w:rPr>
        <w:t>The General Medical Council advises “As a prescriber, you are responsible for the prescriptions that you sign. You must only prescribe medicine when you have adequate knowledge of your patient’s health. And you must be satisfied that the medicine serves your patient’s need”.</w:t>
      </w:r>
      <w:r w:rsidRPr="00F903D1">
        <w:rPr>
          <w:rStyle w:val="EndnoteReference"/>
          <w:sz w:val="20"/>
          <w:szCs w:val="20"/>
        </w:rPr>
        <w:endnoteReference w:id="1"/>
      </w:r>
    </w:p>
    <w:p w14:paraId="34F72E17" w14:textId="77777777" w:rsidR="00F903D1" w:rsidRPr="00F903D1" w:rsidRDefault="00F903D1" w:rsidP="00F903D1">
      <w:pPr>
        <w:rPr>
          <w:b/>
          <w:bCs/>
          <w:i/>
          <w:iCs/>
          <w:sz w:val="20"/>
          <w:szCs w:val="20"/>
        </w:rPr>
      </w:pPr>
      <w:r w:rsidRPr="00F903D1">
        <w:rPr>
          <w:sz w:val="20"/>
          <w:szCs w:val="20"/>
        </w:rPr>
        <w:t xml:space="preserve">While cost comparison charts can be very useful in identifying areas where savings can be made, </w:t>
      </w:r>
      <w:r w:rsidRPr="00F903D1">
        <w:rPr>
          <w:b/>
          <w:bCs/>
          <w:i/>
          <w:iCs/>
          <w:sz w:val="20"/>
          <w:szCs w:val="20"/>
        </w:rPr>
        <w:t xml:space="preserve">the suggestions shown in the charts may not be therapeutically equivalent or used in the same way by the patient, </w:t>
      </w:r>
      <w:r w:rsidRPr="00F903D1">
        <w:rPr>
          <w:sz w:val="20"/>
          <w:szCs w:val="20"/>
        </w:rPr>
        <w:t>as in the case of the thickener products</w:t>
      </w:r>
      <w:r w:rsidRPr="00F903D1">
        <w:rPr>
          <w:b/>
          <w:bCs/>
          <w:i/>
          <w:iCs/>
          <w:sz w:val="20"/>
          <w:szCs w:val="20"/>
        </w:rPr>
        <w:t xml:space="preserve"> </w:t>
      </w:r>
      <w:r w:rsidRPr="00F903D1">
        <w:rPr>
          <w:sz w:val="20"/>
          <w:szCs w:val="20"/>
        </w:rPr>
        <w:t>shown in the illustration below (from Open Prescribing).</w:t>
      </w:r>
      <w:r w:rsidRPr="00F903D1">
        <w:rPr>
          <w:b/>
          <w:bCs/>
          <w:i/>
          <w:iCs/>
          <w:sz w:val="20"/>
          <w:szCs w:val="20"/>
        </w:rPr>
        <w:t xml:space="preserve"> </w:t>
      </w:r>
    </w:p>
    <w:p w14:paraId="09AFF89B" w14:textId="77777777" w:rsidR="00F903D1" w:rsidRPr="00F903D1" w:rsidRDefault="00F903D1" w:rsidP="00F903D1">
      <w:pPr>
        <w:rPr>
          <w:b/>
          <w:bCs/>
          <w:i/>
          <w:iCs/>
          <w:sz w:val="20"/>
          <w:szCs w:val="20"/>
        </w:rPr>
      </w:pPr>
      <w:r w:rsidRPr="00F903D1">
        <w:rPr>
          <w:sz w:val="20"/>
          <w:szCs w:val="20"/>
        </w:rPr>
        <w:t>When using cost comparison data to identify savings</w:t>
      </w:r>
      <w:r w:rsidRPr="00F903D1">
        <w:rPr>
          <w:b/>
          <w:bCs/>
          <w:i/>
          <w:iCs/>
          <w:sz w:val="20"/>
          <w:szCs w:val="20"/>
        </w:rPr>
        <w:t>, prescribers must ensure that any switches are safe and appropriate. In addition, prescribing choices should be in accordance with local formulary</w:t>
      </w:r>
      <w:r w:rsidRPr="00F903D1">
        <w:rPr>
          <w:rStyle w:val="EndnoteReference"/>
          <w:b/>
          <w:bCs/>
          <w:i/>
          <w:iCs/>
          <w:sz w:val="20"/>
          <w:szCs w:val="20"/>
        </w:rPr>
        <w:endnoteReference w:id="2"/>
      </w:r>
      <w:r w:rsidRPr="00F903D1">
        <w:rPr>
          <w:b/>
          <w:bCs/>
          <w:i/>
          <w:iCs/>
          <w:sz w:val="20"/>
          <w:szCs w:val="20"/>
        </w:rPr>
        <w:t xml:space="preserve"> choices and guidelines</w:t>
      </w:r>
      <w:r w:rsidRPr="00F903D1">
        <w:rPr>
          <w:rStyle w:val="EndnoteReference"/>
          <w:b/>
          <w:bCs/>
          <w:i/>
          <w:iCs/>
          <w:sz w:val="20"/>
          <w:szCs w:val="20"/>
        </w:rPr>
        <w:endnoteReference w:id="3"/>
      </w:r>
      <w:r w:rsidRPr="00F903D1">
        <w:rPr>
          <w:b/>
          <w:bCs/>
          <w:i/>
          <w:iCs/>
          <w:sz w:val="20"/>
          <w:szCs w:val="20"/>
        </w:rPr>
        <w:t xml:space="preserve"> except under exceptional circumstances where there is an individual patient clinical need.</w:t>
      </w:r>
    </w:p>
    <w:p w14:paraId="3EE11A64" w14:textId="77777777" w:rsidR="00F903D1" w:rsidRPr="00F903D1" w:rsidRDefault="00F903D1" w:rsidP="00F903D1">
      <w:pPr>
        <w:spacing w:after="0"/>
        <w:rPr>
          <w:sz w:val="20"/>
          <w:szCs w:val="20"/>
        </w:rPr>
      </w:pPr>
      <w:r w:rsidRPr="00F903D1">
        <w:rPr>
          <w:sz w:val="20"/>
          <w:szCs w:val="20"/>
        </w:rPr>
        <w:t>Example: Open Prescribing. Under “Area and practice dashboards” for your practice:</w:t>
      </w:r>
    </w:p>
    <w:p w14:paraId="5CBE3E20" w14:textId="77777777" w:rsidR="00F903D1" w:rsidRPr="00F903D1" w:rsidRDefault="00F903D1" w:rsidP="00F903D1">
      <w:pPr>
        <w:spacing w:after="0"/>
        <w:jc w:val="center"/>
        <w:rPr>
          <w:sz w:val="20"/>
          <w:szCs w:val="20"/>
        </w:rPr>
      </w:pPr>
      <w:r w:rsidRPr="00F903D1">
        <w:rPr>
          <w:noProof/>
          <w:sz w:val="20"/>
          <w:szCs w:val="20"/>
        </w:rPr>
        <w:drawing>
          <wp:inline distT="0" distB="0" distL="0" distR="0" wp14:anchorId="2A856FC0" wp14:editId="5C1CDA3C">
            <wp:extent cx="1504950" cy="774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774700"/>
                    </a:xfrm>
                    <a:prstGeom prst="rect">
                      <a:avLst/>
                    </a:prstGeom>
                    <a:noFill/>
                  </pic:spPr>
                </pic:pic>
              </a:graphicData>
            </a:graphic>
          </wp:inline>
        </w:drawing>
      </w:r>
    </w:p>
    <w:p w14:paraId="09623CA0" w14:textId="77777777" w:rsidR="00F903D1" w:rsidRPr="00F903D1" w:rsidRDefault="00F903D1" w:rsidP="00F903D1">
      <w:pPr>
        <w:spacing w:after="0"/>
        <w:rPr>
          <w:sz w:val="20"/>
          <w:szCs w:val="20"/>
        </w:rPr>
      </w:pPr>
      <w:r w:rsidRPr="00F903D1">
        <w:rPr>
          <w:sz w:val="20"/>
          <w:szCs w:val="20"/>
        </w:rPr>
        <w:t>Clicking on the ‘Read more…’ link takes you to a list of items where savings could be made:</w:t>
      </w:r>
    </w:p>
    <w:p w14:paraId="18BC884A" w14:textId="77777777" w:rsidR="00F903D1" w:rsidRPr="00F903D1" w:rsidRDefault="00F903D1" w:rsidP="00F903D1">
      <w:pPr>
        <w:spacing w:after="0"/>
        <w:jc w:val="center"/>
        <w:rPr>
          <w:sz w:val="20"/>
          <w:szCs w:val="20"/>
        </w:rPr>
      </w:pPr>
      <w:r w:rsidRPr="00F903D1">
        <w:rPr>
          <w:noProof/>
          <w:sz w:val="20"/>
          <w:szCs w:val="20"/>
        </w:rPr>
        <w:drawing>
          <wp:inline distT="0" distB="0" distL="0" distR="0" wp14:anchorId="59ED268F" wp14:editId="79ED11F7">
            <wp:extent cx="282384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3845" cy="1257300"/>
                    </a:xfrm>
                    <a:prstGeom prst="rect">
                      <a:avLst/>
                    </a:prstGeom>
                    <a:noFill/>
                  </pic:spPr>
                </pic:pic>
              </a:graphicData>
            </a:graphic>
          </wp:inline>
        </w:drawing>
      </w:r>
    </w:p>
    <w:p w14:paraId="13C54146" w14:textId="77777777" w:rsidR="00F903D1" w:rsidRPr="00F903D1" w:rsidRDefault="00F903D1" w:rsidP="00F903D1">
      <w:pPr>
        <w:spacing w:after="0"/>
        <w:rPr>
          <w:sz w:val="20"/>
          <w:szCs w:val="20"/>
        </w:rPr>
      </w:pPr>
      <w:r w:rsidRPr="00F903D1">
        <w:rPr>
          <w:sz w:val="20"/>
          <w:szCs w:val="20"/>
        </w:rPr>
        <w:t>Clicking on individual presentations (in blue) gives further information about alternatives. Example below:</w:t>
      </w:r>
    </w:p>
    <w:p w14:paraId="1165CB5C" w14:textId="77777777" w:rsidR="00F903D1" w:rsidRPr="00F903D1" w:rsidRDefault="00F903D1" w:rsidP="00F903D1">
      <w:pPr>
        <w:spacing w:after="0"/>
        <w:jc w:val="center"/>
        <w:rPr>
          <w:sz w:val="20"/>
          <w:szCs w:val="20"/>
        </w:rPr>
      </w:pPr>
      <w:r w:rsidRPr="00F903D1">
        <w:rPr>
          <w:noProof/>
          <w:sz w:val="20"/>
          <w:szCs w:val="20"/>
        </w:rPr>
        <w:drawing>
          <wp:inline distT="0" distB="0" distL="0" distR="0" wp14:anchorId="16D71EA7" wp14:editId="55BFB220">
            <wp:extent cx="2973070" cy="1403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3070" cy="1403350"/>
                    </a:xfrm>
                    <a:prstGeom prst="rect">
                      <a:avLst/>
                    </a:prstGeom>
                    <a:noFill/>
                  </pic:spPr>
                </pic:pic>
              </a:graphicData>
            </a:graphic>
          </wp:inline>
        </w:drawing>
      </w:r>
    </w:p>
    <w:p w14:paraId="0937535B" w14:textId="77777777" w:rsidR="00F903D1" w:rsidRPr="00F903D1" w:rsidRDefault="00F903D1" w:rsidP="00F903D1">
      <w:pPr>
        <w:spacing w:after="0"/>
        <w:rPr>
          <w:sz w:val="20"/>
          <w:szCs w:val="20"/>
        </w:rPr>
      </w:pPr>
      <w:r w:rsidRPr="00F903D1">
        <w:rPr>
          <w:sz w:val="20"/>
          <w:szCs w:val="20"/>
        </w:rPr>
        <w:t>The thickener products shown in the charts are not equivalent, due to different formulation and instructions for use.</w:t>
      </w:r>
    </w:p>
    <w:p w14:paraId="10CC5919" w14:textId="26A444AE" w:rsidR="008E30B6" w:rsidRDefault="008E30B6" w:rsidP="00F903D1"/>
    <w:sectPr w:rsidR="008E30B6" w:rsidSect="002B4959">
      <w:footerReference w:type="default" r:id="rId17"/>
      <w:pgSz w:w="11900" w:h="16840" w:code="9"/>
      <w:pgMar w:top="1134" w:right="1134" w:bottom="1418" w:left="1134" w:header="567"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DAE2" w14:textId="77777777" w:rsidR="004B3080" w:rsidRDefault="004B3080" w:rsidP="00697231">
      <w:r>
        <w:separator/>
      </w:r>
    </w:p>
  </w:endnote>
  <w:endnote w:type="continuationSeparator" w:id="0">
    <w:p w14:paraId="5836F7A8" w14:textId="77777777" w:rsidR="004B3080" w:rsidRDefault="004B3080" w:rsidP="00697231">
      <w:r>
        <w:continuationSeparator/>
      </w:r>
    </w:p>
  </w:endnote>
  <w:endnote w:id="1">
    <w:p w14:paraId="36215E13" w14:textId="77777777" w:rsidR="00F903D1" w:rsidRDefault="00F903D1" w:rsidP="00F903D1">
      <w:pPr>
        <w:pStyle w:val="EndnoteText"/>
      </w:pPr>
      <w:r>
        <w:rPr>
          <w:rStyle w:val="EndnoteReference"/>
        </w:rPr>
        <w:endnoteRef/>
      </w:r>
      <w:r>
        <w:t xml:space="preserve"> General Medical Council. Good practice in prescribing and managing medicines and devices. Accessed 13/12/2022. Available at &lt;</w:t>
      </w:r>
      <w:hyperlink r:id="rId1" w:history="1">
        <w:r w:rsidRPr="00131547">
          <w:rPr>
            <w:rStyle w:val="Hyperlink"/>
            <w:rFonts w:eastAsia="MS PGothic"/>
          </w:rPr>
          <w:t>https://www.gmc-uk.org/-/media/documents/prescribing-guidance-updated-english-20210405_pdf-85260533.pdf</w:t>
        </w:r>
      </w:hyperlink>
      <w:r>
        <w:t>&gt;</w:t>
      </w:r>
    </w:p>
    <w:p w14:paraId="3922E0AF" w14:textId="77777777" w:rsidR="00F903D1" w:rsidRDefault="00F903D1" w:rsidP="00F903D1">
      <w:pPr>
        <w:pStyle w:val="EndnoteText"/>
      </w:pPr>
    </w:p>
  </w:endnote>
  <w:endnote w:id="2">
    <w:p w14:paraId="0A1274FE" w14:textId="65E5D6F6" w:rsidR="00F903D1" w:rsidRDefault="00F903D1" w:rsidP="00F903D1">
      <w:pPr>
        <w:pStyle w:val="EndnoteText"/>
      </w:pPr>
      <w:r>
        <w:rPr>
          <w:rStyle w:val="EndnoteReference"/>
        </w:rPr>
        <w:endnoteRef/>
      </w:r>
      <w:r>
        <w:t xml:space="preserve"> North of Tyne formulary. Available at &lt; </w:t>
      </w:r>
      <w:hyperlink r:id="rId2" w:history="1">
        <w:r w:rsidRPr="007C2559">
          <w:rPr>
            <w:rStyle w:val="Hyperlink"/>
            <w:rFonts w:eastAsia="MS PGothic"/>
          </w:rPr>
          <w:t>http://northoftyneandgatesheadformulary.nhs.uk/about.asp</w:t>
        </w:r>
      </w:hyperlink>
      <w:r>
        <w:t>&gt;</w:t>
      </w:r>
    </w:p>
    <w:p w14:paraId="011ED878" w14:textId="4BB1526C" w:rsidR="00F903D1" w:rsidRDefault="00F903D1" w:rsidP="00F903D1">
      <w:pPr>
        <w:pStyle w:val="EndnoteText"/>
      </w:pPr>
      <w:r>
        <w:rPr>
          <w:rStyle w:val="EndnoteReference"/>
        </w:rPr>
        <w:endnoteRef/>
      </w:r>
      <w:r>
        <w:t xml:space="preserve"> North Cumbria guidelines are available at &lt;</w:t>
      </w:r>
      <w:hyperlink r:id="rId3" w:history="1">
        <w:r w:rsidRPr="00131547">
          <w:rPr>
            <w:rStyle w:val="Hyperlink"/>
            <w:rFonts w:eastAsia="MS PGothic"/>
          </w:rPr>
          <w:t>https://medicines.necsu.nhs.uk/guidelines/cumbria-guidelines/</w:t>
        </w:r>
      </w:hyperlink>
      <w:r>
        <w:t>&gt;</w:t>
      </w:r>
    </w:p>
  </w:endnote>
  <w:endnote w:id="3">
    <w:p w14:paraId="17631CCF" w14:textId="6958E7A7" w:rsidR="00F903D1" w:rsidRDefault="00F903D1" w:rsidP="00AB625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Univers 45 Light">
    <w:altName w:val="Corbel"/>
    <w:charset w:val="00"/>
    <w:family w:val="auto"/>
    <w:pitch w:val="variable"/>
    <w:sig w:usb0="00000001" w:usb1="00000000" w:usb2="00000000" w:usb3="00000000" w:csb0="00000093" w:csb1="00000000"/>
  </w:font>
  <w:font w:name="Arial MT">
    <w:altName w:val="Cambria"/>
    <w:charset w:val="00"/>
    <w:family w:val="auto"/>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B138" w14:textId="77777777" w:rsidR="00433217" w:rsidRPr="00AF65D2" w:rsidRDefault="00AF65D2" w:rsidP="00AF65D2">
    <w:pPr>
      <w:pStyle w:val="Footer"/>
      <w:tabs>
        <w:tab w:val="clear" w:pos="4320"/>
        <w:tab w:val="clear" w:pos="8640"/>
        <w:tab w:val="center" w:pos="4816"/>
      </w:tabs>
    </w:pPr>
    <w:r w:rsidRPr="00AF65D2">
      <w:tab/>
    </w:r>
  </w:p>
  <w:tbl>
    <w:tblPr>
      <w:tblStyle w:val="TableGrid"/>
      <w:tblW w:w="0" w:type="auto"/>
      <w:tblLook w:val="04A0" w:firstRow="1" w:lastRow="0" w:firstColumn="1" w:lastColumn="0" w:noHBand="0" w:noVBand="1"/>
    </w:tblPr>
    <w:tblGrid>
      <w:gridCol w:w="3207"/>
      <w:gridCol w:w="3207"/>
      <w:gridCol w:w="3208"/>
    </w:tblGrid>
    <w:tr w:rsidR="00433217" w14:paraId="71C88C3D" w14:textId="77777777" w:rsidTr="00143133">
      <w:tc>
        <w:tcPr>
          <w:tcW w:w="3207" w:type="dxa"/>
        </w:tcPr>
        <w:p w14:paraId="23FB70BC" w14:textId="77777777" w:rsidR="00433217" w:rsidRPr="00433217" w:rsidRDefault="00433217" w:rsidP="00433217">
          <w:pPr>
            <w:pStyle w:val="Footer"/>
            <w:rPr>
              <w:sz w:val="16"/>
              <w:szCs w:val="18"/>
            </w:rPr>
          </w:pPr>
          <w:r w:rsidRPr="00433217">
            <w:rPr>
              <w:sz w:val="16"/>
              <w:szCs w:val="18"/>
              <w:highlight w:val="yellow"/>
            </w:rPr>
            <w:t>Document title and reference no.</w:t>
          </w:r>
        </w:p>
      </w:tc>
      <w:tc>
        <w:tcPr>
          <w:tcW w:w="3207" w:type="dxa"/>
        </w:tcPr>
        <w:p w14:paraId="0020A968" w14:textId="77777777" w:rsidR="00433217" w:rsidRPr="00433217" w:rsidRDefault="00433217" w:rsidP="00433217">
          <w:pPr>
            <w:pStyle w:val="Footer"/>
            <w:rPr>
              <w:sz w:val="16"/>
              <w:szCs w:val="18"/>
            </w:rPr>
          </w:pPr>
          <w:r>
            <w:rPr>
              <w:b/>
              <w:bCs/>
              <w:sz w:val="16"/>
              <w:szCs w:val="18"/>
            </w:rPr>
            <w:t>Approved date:</w:t>
          </w:r>
          <w:r>
            <w:rPr>
              <w:sz w:val="16"/>
              <w:szCs w:val="18"/>
            </w:rPr>
            <w:t xml:space="preserve"> </w:t>
          </w:r>
          <w:r w:rsidRPr="00433217">
            <w:rPr>
              <w:sz w:val="16"/>
              <w:szCs w:val="18"/>
              <w:highlight w:val="yellow"/>
            </w:rPr>
            <w:t>enter date</w:t>
          </w:r>
        </w:p>
      </w:tc>
      <w:tc>
        <w:tcPr>
          <w:tcW w:w="3208" w:type="dxa"/>
        </w:tcPr>
        <w:p w14:paraId="000F9B61" w14:textId="77777777" w:rsidR="00433217" w:rsidRPr="00433217" w:rsidRDefault="00433217" w:rsidP="00433217">
          <w:pPr>
            <w:pStyle w:val="Footer"/>
            <w:rPr>
              <w:sz w:val="16"/>
              <w:szCs w:val="18"/>
            </w:rPr>
          </w:pPr>
          <w:r w:rsidRPr="00433217">
            <w:rPr>
              <w:b/>
              <w:bCs/>
              <w:sz w:val="16"/>
              <w:szCs w:val="18"/>
            </w:rPr>
            <w:t>Review date:</w:t>
          </w:r>
          <w:r>
            <w:rPr>
              <w:sz w:val="16"/>
              <w:szCs w:val="18"/>
            </w:rPr>
            <w:t xml:space="preserve"> </w:t>
          </w:r>
          <w:r w:rsidRPr="00433217">
            <w:rPr>
              <w:sz w:val="16"/>
              <w:szCs w:val="18"/>
              <w:highlight w:val="yellow"/>
            </w:rPr>
            <w:t>enter date</w:t>
          </w:r>
        </w:p>
      </w:tc>
    </w:tr>
    <w:tr w:rsidR="00433217" w14:paraId="31CBBBFB" w14:textId="77777777" w:rsidTr="00143133">
      <w:trPr>
        <w:trHeight w:val="60"/>
      </w:trPr>
      <w:tc>
        <w:tcPr>
          <w:tcW w:w="6414" w:type="dxa"/>
          <w:gridSpan w:val="2"/>
        </w:tcPr>
        <w:p w14:paraId="35B8EA9F" w14:textId="77777777" w:rsidR="00433217" w:rsidRPr="00433217" w:rsidRDefault="00433217" w:rsidP="00433217">
          <w:pPr>
            <w:pStyle w:val="Footer"/>
            <w:rPr>
              <w:sz w:val="16"/>
              <w:szCs w:val="18"/>
            </w:rPr>
          </w:pPr>
          <w:r>
            <w:rPr>
              <w:sz w:val="16"/>
              <w:szCs w:val="18"/>
            </w:rPr>
            <w:t>Developed by NHS North of England Care Systems Support MO Team</w:t>
          </w:r>
        </w:p>
      </w:tc>
      <w:tc>
        <w:tcPr>
          <w:tcW w:w="3208" w:type="dxa"/>
        </w:tcPr>
        <w:p w14:paraId="120DADA8" w14:textId="77777777" w:rsidR="00433217" w:rsidRPr="00433217" w:rsidRDefault="00433217" w:rsidP="00433217">
          <w:pPr>
            <w:pStyle w:val="Footer"/>
            <w:rPr>
              <w:sz w:val="16"/>
              <w:szCs w:val="18"/>
            </w:rPr>
          </w:pPr>
          <w:r w:rsidRPr="00433217">
            <w:rPr>
              <w:b/>
              <w:bCs/>
              <w:sz w:val="16"/>
              <w:szCs w:val="18"/>
            </w:rPr>
            <w:t>Status</w:t>
          </w:r>
          <w:r>
            <w:rPr>
              <w:sz w:val="16"/>
              <w:szCs w:val="18"/>
            </w:rPr>
            <w:t xml:space="preserve">: </w:t>
          </w:r>
          <w:r w:rsidRPr="00433217">
            <w:rPr>
              <w:sz w:val="16"/>
              <w:szCs w:val="18"/>
              <w:highlight w:val="yellow"/>
            </w:rPr>
            <w:t>Draft/ Approved</w:t>
          </w:r>
        </w:p>
      </w:tc>
    </w:tr>
  </w:tbl>
  <w:p w14:paraId="6FF75DA1" w14:textId="77777777" w:rsidR="00622163" w:rsidRPr="00AF65D2" w:rsidRDefault="00622163" w:rsidP="00AF65D2">
    <w:pPr>
      <w:pStyle w:val="Footer"/>
      <w:tabs>
        <w:tab w:val="clear" w:pos="4320"/>
        <w:tab w:val="clear" w:pos="8640"/>
        <w:tab w:val="center" w:pos="48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1EB9" w14:textId="77777777" w:rsidR="004B3080" w:rsidRDefault="004B3080" w:rsidP="00697231">
      <w:r>
        <w:separator/>
      </w:r>
    </w:p>
  </w:footnote>
  <w:footnote w:type="continuationSeparator" w:id="0">
    <w:p w14:paraId="369E6786" w14:textId="77777777" w:rsidR="004B3080" w:rsidRDefault="004B3080" w:rsidP="00697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6A65DF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B52310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2564E8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0EE179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4F0DD8A"/>
    <w:lvl w:ilvl="0">
      <w:start w:val="1"/>
      <w:numFmt w:val="bullet"/>
      <w:pStyle w:val="ListBullet"/>
      <w:lvlText w:val=""/>
      <w:lvlJc w:val="left"/>
      <w:pPr>
        <w:ind w:left="360" w:hanging="360"/>
      </w:pPr>
      <w:rPr>
        <w:rFonts w:ascii="Symbol" w:hAnsi="Symbol" w:hint="default"/>
        <w:color w:val="005A9B"/>
      </w:rPr>
    </w:lvl>
  </w:abstractNum>
  <w:abstractNum w:abstractNumId="5" w15:restartNumberingAfterBreak="0">
    <w:nsid w:val="1863350C"/>
    <w:multiLevelType w:val="hybridMultilevel"/>
    <w:tmpl w:val="738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92246"/>
    <w:multiLevelType w:val="hybridMultilevel"/>
    <w:tmpl w:val="8F8421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6D2E4B"/>
    <w:multiLevelType w:val="hybridMultilevel"/>
    <w:tmpl w:val="589CC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E724A"/>
    <w:multiLevelType w:val="hybridMultilevel"/>
    <w:tmpl w:val="B7A4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A2B01"/>
    <w:multiLevelType w:val="hybridMultilevel"/>
    <w:tmpl w:val="EE5E142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D1"/>
    <w:rsid w:val="000A748C"/>
    <w:rsid w:val="001119EE"/>
    <w:rsid w:val="00117D7C"/>
    <w:rsid w:val="0015098C"/>
    <w:rsid w:val="0015205F"/>
    <w:rsid w:val="0017511E"/>
    <w:rsid w:val="001A4BD3"/>
    <w:rsid w:val="001B2C2E"/>
    <w:rsid w:val="001F45B5"/>
    <w:rsid w:val="00200EDE"/>
    <w:rsid w:val="00255C11"/>
    <w:rsid w:val="002B4959"/>
    <w:rsid w:val="00305B32"/>
    <w:rsid w:val="00357D55"/>
    <w:rsid w:val="00433217"/>
    <w:rsid w:val="00472D86"/>
    <w:rsid w:val="0049204E"/>
    <w:rsid w:val="004B3080"/>
    <w:rsid w:val="004B758C"/>
    <w:rsid w:val="00516598"/>
    <w:rsid w:val="00520591"/>
    <w:rsid w:val="00524429"/>
    <w:rsid w:val="00563CC4"/>
    <w:rsid w:val="00622163"/>
    <w:rsid w:val="006534FB"/>
    <w:rsid w:val="00697231"/>
    <w:rsid w:val="006B2040"/>
    <w:rsid w:val="006D0490"/>
    <w:rsid w:val="007434C5"/>
    <w:rsid w:val="007D212E"/>
    <w:rsid w:val="00860C9A"/>
    <w:rsid w:val="00866A97"/>
    <w:rsid w:val="008753AD"/>
    <w:rsid w:val="008D4E1D"/>
    <w:rsid w:val="008E30B6"/>
    <w:rsid w:val="00916534"/>
    <w:rsid w:val="009F06A4"/>
    <w:rsid w:val="00A03E07"/>
    <w:rsid w:val="00A3777B"/>
    <w:rsid w:val="00A43F39"/>
    <w:rsid w:val="00A97AA0"/>
    <w:rsid w:val="00AB625C"/>
    <w:rsid w:val="00AF65D2"/>
    <w:rsid w:val="00B14D5C"/>
    <w:rsid w:val="00B37717"/>
    <w:rsid w:val="00BF0026"/>
    <w:rsid w:val="00C07E04"/>
    <w:rsid w:val="00C60C49"/>
    <w:rsid w:val="00D772EB"/>
    <w:rsid w:val="00D81AB6"/>
    <w:rsid w:val="00D96845"/>
    <w:rsid w:val="00E02B88"/>
    <w:rsid w:val="00E07466"/>
    <w:rsid w:val="00E12C5D"/>
    <w:rsid w:val="00E31FE2"/>
    <w:rsid w:val="00E356D7"/>
    <w:rsid w:val="00E83910"/>
    <w:rsid w:val="00ED06F1"/>
    <w:rsid w:val="00F3292A"/>
    <w:rsid w:val="00F4313D"/>
    <w:rsid w:val="00F87ACE"/>
    <w:rsid w:val="00F903D1"/>
    <w:rsid w:val="00FC01D7"/>
    <w:rsid w:val="00FE42F4"/>
    <w:rsid w:val="00FF61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8CC7A"/>
  <w14:defaultImageDpi w14:val="300"/>
  <w15:docId w15:val="{17CD4F49-3CD6-4B1C-8D13-86F6EE8A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4E"/>
    <w:pPr>
      <w:spacing w:after="120"/>
    </w:pPr>
    <w:rPr>
      <w:rFonts w:eastAsia="Times New Roman"/>
      <w:sz w:val="24"/>
      <w:szCs w:val="24"/>
    </w:rPr>
  </w:style>
  <w:style w:type="paragraph" w:styleId="Heading1">
    <w:name w:val="heading 1"/>
    <w:basedOn w:val="Normal"/>
    <w:next w:val="Normal"/>
    <w:link w:val="Heading1Char"/>
    <w:uiPriority w:val="9"/>
    <w:qFormat/>
    <w:rsid w:val="008E30B6"/>
    <w:pPr>
      <w:keepNext/>
      <w:keepLines/>
      <w:spacing w:before="480"/>
      <w:outlineLvl w:val="0"/>
    </w:pPr>
    <w:rPr>
      <w:rFonts w:eastAsia="MS PGothic"/>
      <w:b/>
      <w:bCs/>
      <w:color w:val="005A9B"/>
      <w:sz w:val="32"/>
      <w:szCs w:val="32"/>
      <w:lang w:val="en-US"/>
    </w:rPr>
  </w:style>
  <w:style w:type="paragraph" w:styleId="Heading2">
    <w:name w:val="heading 2"/>
    <w:basedOn w:val="Normal"/>
    <w:next w:val="Normal"/>
    <w:link w:val="Heading2Char"/>
    <w:uiPriority w:val="9"/>
    <w:unhideWhenUsed/>
    <w:qFormat/>
    <w:rsid w:val="00D81AB6"/>
    <w:pPr>
      <w:keepNext/>
      <w:keepLines/>
      <w:spacing w:before="480"/>
      <w:outlineLvl w:val="1"/>
    </w:pPr>
    <w:rPr>
      <w:rFonts w:eastAsia="MS PGothic"/>
      <w:b/>
      <w:bCs/>
      <w:color w:val="14131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pagenumbers">
    <w:name w:val="BP page numbers"/>
    <w:basedOn w:val="Footer"/>
    <w:autoRedefine/>
    <w:qFormat/>
    <w:rsid w:val="00A03E07"/>
    <w:pPr>
      <w:framePr w:wrap="around" w:vAnchor="text" w:hAnchor="margin" w:xAlign="center" w:y="1"/>
      <w:jc w:val="center"/>
    </w:pPr>
    <w:rPr>
      <w:rFonts w:ascii="Univers 45 Light" w:eastAsia="Times New Roman" w:hAnsi="Univers 45 Light"/>
      <w:sz w:val="20"/>
      <w:szCs w:val="20"/>
      <w:lang w:val="en-GB"/>
    </w:rPr>
  </w:style>
  <w:style w:type="paragraph" w:styleId="Footer">
    <w:name w:val="footer"/>
    <w:basedOn w:val="Normal"/>
    <w:link w:val="FooterChar"/>
    <w:unhideWhenUsed/>
    <w:rsid w:val="00E12C5D"/>
    <w:pPr>
      <w:tabs>
        <w:tab w:val="center" w:pos="4320"/>
        <w:tab w:val="right" w:pos="8640"/>
      </w:tabs>
    </w:pPr>
    <w:rPr>
      <w:rFonts w:eastAsia="MS PGothic"/>
      <w:sz w:val="22"/>
      <w:lang w:val="en-US"/>
    </w:rPr>
  </w:style>
  <w:style w:type="character" w:customStyle="1" w:styleId="FooterChar">
    <w:name w:val="Footer Char"/>
    <w:link w:val="Footer"/>
    <w:rsid w:val="00E12C5D"/>
    <w:rPr>
      <w:rFonts w:ascii="Arial" w:hAnsi="Arial"/>
      <w:sz w:val="22"/>
    </w:rPr>
  </w:style>
  <w:style w:type="character" w:customStyle="1" w:styleId="Heading2Char">
    <w:name w:val="Heading 2 Char"/>
    <w:link w:val="Heading2"/>
    <w:uiPriority w:val="9"/>
    <w:rsid w:val="00D81AB6"/>
    <w:rPr>
      <w:rFonts w:ascii="Arial" w:eastAsia="MS PGothic" w:hAnsi="Arial" w:cs="Times New Roman"/>
      <w:b/>
      <w:bCs/>
      <w:color w:val="141313"/>
      <w:sz w:val="28"/>
      <w:szCs w:val="26"/>
      <w:lang w:val="en-GB"/>
    </w:rPr>
  </w:style>
  <w:style w:type="paragraph" w:customStyle="1" w:styleId="NECSDocumentTitle">
    <w:name w:val="NECS Document Title"/>
    <w:basedOn w:val="Heading1"/>
    <w:next w:val="BodyText"/>
    <w:qFormat/>
    <w:rsid w:val="00A97AA0"/>
    <w:pPr>
      <w:suppressAutoHyphens/>
      <w:spacing w:before="100"/>
    </w:pPr>
  </w:style>
  <w:style w:type="character" w:customStyle="1" w:styleId="Heading1Char">
    <w:name w:val="Heading 1 Char"/>
    <w:link w:val="Heading1"/>
    <w:uiPriority w:val="9"/>
    <w:rsid w:val="008E30B6"/>
    <w:rPr>
      <w:rFonts w:ascii="Arial" w:eastAsia="MS PGothic" w:hAnsi="Arial" w:cs="Times New Roman"/>
      <w:b/>
      <w:bCs/>
      <w:color w:val="005A9B"/>
      <w:sz w:val="32"/>
      <w:szCs w:val="32"/>
    </w:rPr>
  </w:style>
  <w:style w:type="paragraph" w:styleId="BodyText">
    <w:name w:val="Body Text"/>
    <w:basedOn w:val="Normal"/>
    <w:link w:val="BodyTextChar"/>
    <w:uiPriority w:val="99"/>
    <w:semiHidden/>
    <w:unhideWhenUsed/>
    <w:rsid w:val="00E07466"/>
    <w:rPr>
      <w:rFonts w:eastAsia="MS PGothic"/>
      <w:lang w:val="en-US"/>
    </w:rPr>
  </w:style>
  <w:style w:type="character" w:customStyle="1" w:styleId="BodyTextChar">
    <w:name w:val="Body Text Char"/>
    <w:basedOn w:val="DefaultParagraphFont"/>
    <w:link w:val="BodyText"/>
    <w:uiPriority w:val="99"/>
    <w:semiHidden/>
    <w:rsid w:val="00E07466"/>
  </w:style>
  <w:style w:type="paragraph" w:customStyle="1" w:styleId="NECSBODYCOPY">
    <w:name w:val="NECS BODY COPY"/>
    <w:basedOn w:val="BodyText"/>
    <w:next w:val="BodyText"/>
    <w:qFormat/>
    <w:rsid w:val="00E07466"/>
    <w:pPr>
      <w:spacing w:after="100" w:line="220" w:lineRule="exact"/>
    </w:pPr>
    <w:rPr>
      <w:rFonts w:ascii="Arial MT" w:hAnsi="Arial MT"/>
      <w:color w:val="0067C6"/>
      <w:sz w:val="18"/>
      <w:szCs w:val="18"/>
    </w:rPr>
  </w:style>
  <w:style w:type="paragraph" w:styleId="Header">
    <w:name w:val="header"/>
    <w:basedOn w:val="Normal"/>
    <w:link w:val="HeaderChar"/>
    <w:uiPriority w:val="99"/>
    <w:unhideWhenUsed/>
    <w:rsid w:val="00E12C5D"/>
    <w:pPr>
      <w:tabs>
        <w:tab w:val="center" w:pos="4320"/>
        <w:tab w:val="right" w:pos="8640"/>
      </w:tabs>
      <w:jc w:val="center"/>
    </w:pPr>
    <w:rPr>
      <w:rFonts w:eastAsia="MS PGothic"/>
      <w:sz w:val="22"/>
      <w:lang w:val="en-US"/>
    </w:rPr>
  </w:style>
  <w:style w:type="character" w:customStyle="1" w:styleId="HeaderChar">
    <w:name w:val="Header Char"/>
    <w:link w:val="Header"/>
    <w:uiPriority w:val="99"/>
    <w:rsid w:val="00E12C5D"/>
    <w:rPr>
      <w:sz w:val="22"/>
    </w:rPr>
  </w:style>
  <w:style w:type="character" w:styleId="PageNumber">
    <w:name w:val="page number"/>
    <w:basedOn w:val="DefaultParagraphFont"/>
    <w:rsid w:val="0015098C"/>
  </w:style>
  <w:style w:type="paragraph" w:styleId="BalloonText">
    <w:name w:val="Balloon Text"/>
    <w:basedOn w:val="Normal"/>
    <w:link w:val="BalloonTextChar"/>
    <w:uiPriority w:val="99"/>
    <w:semiHidden/>
    <w:unhideWhenUsed/>
    <w:rsid w:val="00524429"/>
    <w:rPr>
      <w:rFonts w:ascii="Lucida Grande" w:hAnsi="Lucida Grande" w:cs="Lucida Grande"/>
      <w:sz w:val="18"/>
      <w:szCs w:val="18"/>
    </w:rPr>
  </w:style>
  <w:style w:type="character" w:customStyle="1" w:styleId="BalloonTextChar">
    <w:name w:val="Balloon Text Char"/>
    <w:link w:val="BalloonText"/>
    <w:uiPriority w:val="99"/>
    <w:semiHidden/>
    <w:rsid w:val="00524429"/>
    <w:rPr>
      <w:rFonts w:ascii="Lucida Grande" w:eastAsia="Times New Roman" w:hAnsi="Lucida Grande" w:cs="Lucida Grande"/>
      <w:sz w:val="18"/>
      <w:szCs w:val="18"/>
      <w:lang w:val="en-GB"/>
    </w:rPr>
  </w:style>
  <w:style w:type="paragraph" w:styleId="Subtitle">
    <w:name w:val="Subtitle"/>
    <w:basedOn w:val="Normal"/>
    <w:next w:val="Normal"/>
    <w:link w:val="SubtitleChar"/>
    <w:uiPriority w:val="11"/>
    <w:qFormat/>
    <w:rsid w:val="00AF65D2"/>
    <w:pPr>
      <w:numPr>
        <w:ilvl w:val="1"/>
      </w:numPr>
      <w:jc w:val="right"/>
    </w:pPr>
    <w:rPr>
      <w:rFonts w:eastAsia="MS PGothic"/>
      <w:i/>
      <w:iCs/>
      <w:color w:val="141313"/>
      <w:sz w:val="48"/>
    </w:rPr>
  </w:style>
  <w:style w:type="character" w:customStyle="1" w:styleId="SubtitleChar">
    <w:name w:val="Subtitle Char"/>
    <w:link w:val="Subtitle"/>
    <w:uiPriority w:val="11"/>
    <w:rsid w:val="00AF65D2"/>
    <w:rPr>
      <w:rFonts w:ascii="Arial" w:eastAsia="MS PGothic" w:hAnsi="Arial" w:cs="Times New Roman"/>
      <w:i/>
      <w:iCs/>
      <w:color w:val="141313"/>
      <w:sz w:val="48"/>
      <w:lang w:val="en-GB"/>
    </w:rPr>
  </w:style>
  <w:style w:type="paragraph" w:styleId="Title">
    <w:name w:val="Title"/>
    <w:basedOn w:val="Normal"/>
    <w:next w:val="Normal"/>
    <w:link w:val="TitleChar"/>
    <w:uiPriority w:val="10"/>
    <w:qFormat/>
    <w:rsid w:val="00516598"/>
    <w:pPr>
      <w:spacing w:after="0"/>
      <w:contextualSpacing/>
      <w:jc w:val="right"/>
    </w:pPr>
    <w:rPr>
      <w:rFonts w:eastAsia="MS PGothic"/>
      <w:color w:val="005A9B"/>
      <w:kern w:val="28"/>
      <w:sz w:val="72"/>
      <w:szCs w:val="52"/>
    </w:rPr>
  </w:style>
  <w:style w:type="character" w:customStyle="1" w:styleId="TitleChar">
    <w:name w:val="Title Char"/>
    <w:link w:val="Title"/>
    <w:uiPriority w:val="10"/>
    <w:rsid w:val="00516598"/>
    <w:rPr>
      <w:rFonts w:ascii="Arial" w:eastAsia="MS PGothic" w:hAnsi="Arial" w:cs="Times New Roman"/>
      <w:color w:val="005A9B"/>
      <w:kern w:val="28"/>
      <w:sz w:val="72"/>
      <w:szCs w:val="52"/>
      <w:lang w:val="en-GB"/>
    </w:rPr>
  </w:style>
  <w:style w:type="paragraph" w:styleId="ListParagraph">
    <w:name w:val="List Paragraph"/>
    <w:basedOn w:val="Normal"/>
    <w:uiPriority w:val="34"/>
    <w:qFormat/>
    <w:rsid w:val="00AF65D2"/>
    <w:pPr>
      <w:ind w:left="720"/>
      <w:contextualSpacing/>
    </w:pPr>
  </w:style>
  <w:style w:type="paragraph" w:styleId="ListBullet">
    <w:name w:val="List Bullet"/>
    <w:basedOn w:val="Normal"/>
    <w:uiPriority w:val="99"/>
    <w:unhideWhenUsed/>
    <w:rsid w:val="00AF65D2"/>
    <w:pPr>
      <w:numPr>
        <w:numId w:val="3"/>
      </w:numPr>
      <w:ind w:left="641" w:hanging="357"/>
      <w:contextualSpacing/>
    </w:pPr>
  </w:style>
  <w:style w:type="paragraph" w:styleId="ListBullet2">
    <w:name w:val="List Bullet 2"/>
    <w:basedOn w:val="Normal"/>
    <w:uiPriority w:val="99"/>
    <w:unhideWhenUsed/>
    <w:rsid w:val="00AF65D2"/>
    <w:pPr>
      <w:numPr>
        <w:numId w:val="4"/>
      </w:numPr>
      <w:ind w:left="981" w:hanging="357"/>
      <w:contextualSpacing/>
    </w:pPr>
  </w:style>
  <w:style w:type="paragraph" w:styleId="EndnoteText">
    <w:name w:val="endnote text"/>
    <w:basedOn w:val="Normal"/>
    <w:link w:val="EndnoteTextChar"/>
    <w:uiPriority w:val="99"/>
    <w:unhideWhenUsed/>
    <w:rsid w:val="00E02B88"/>
    <w:pPr>
      <w:spacing w:after="0"/>
    </w:pPr>
    <w:rPr>
      <w:sz w:val="20"/>
      <w:szCs w:val="20"/>
    </w:rPr>
  </w:style>
  <w:style w:type="character" w:customStyle="1" w:styleId="EndnoteTextChar">
    <w:name w:val="Endnote Text Char"/>
    <w:basedOn w:val="DefaultParagraphFont"/>
    <w:link w:val="EndnoteText"/>
    <w:uiPriority w:val="99"/>
    <w:rsid w:val="00E02B88"/>
    <w:rPr>
      <w:rFonts w:eastAsia="Times New Roman"/>
    </w:rPr>
  </w:style>
  <w:style w:type="character" w:styleId="EndnoteReference">
    <w:name w:val="endnote reference"/>
    <w:basedOn w:val="DefaultParagraphFont"/>
    <w:uiPriority w:val="99"/>
    <w:semiHidden/>
    <w:unhideWhenUsed/>
    <w:rsid w:val="00E02B88"/>
    <w:rPr>
      <w:vertAlign w:val="superscript"/>
    </w:rPr>
  </w:style>
  <w:style w:type="paragraph" w:styleId="FootnoteText">
    <w:name w:val="footnote text"/>
    <w:basedOn w:val="Normal"/>
    <w:link w:val="FootnoteTextChar"/>
    <w:uiPriority w:val="99"/>
    <w:semiHidden/>
    <w:unhideWhenUsed/>
    <w:rsid w:val="00E02B88"/>
    <w:pPr>
      <w:spacing w:after="0"/>
    </w:pPr>
    <w:rPr>
      <w:sz w:val="20"/>
      <w:szCs w:val="20"/>
    </w:rPr>
  </w:style>
  <w:style w:type="character" w:customStyle="1" w:styleId="FootnoteTextChar">
    <w:name w:val="Footnote Text Char"/>
    <w:basedOn w:val="DefaultParagraphFont"/>
    <w:link w:val="FootnoteText"/>
    <w:uiPriority w:val="99"/>
    <w:semiHidden/>
    <w:rsid w:val="00E02B88"/>
    <w:rPr>
      <w:rFonts w:eastAsia="Times New Roman"/>
    </w:rPr>
  </w:style>
  <w:style w:type="character" w:styleId="FootnoteReference">
    <w:name w:val="footnote reference"/>
    <w:basedOn w:val="DefaultParagraphFont"/>
    <w:uiPriority w:val="99"/>
    <w:semiHidden/>
    <w:unhideWhenUsed/>
    <w:rsid w:val="00E02B88"/>
    <w:rPr>
      <w:vertAlign w:val="superscript"/>
    </w:rPr>
  </w:style>
  <w:style w:type="table" w:styleId="TableGrid">
    <w:name w:val="Table Grid"/>
    <w:basedOn w:val="TableNormal"/>
    <w:uiPriority w:val="59"/>
    <w:rsid w:val="0043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image" Target="media/image3.png"/><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medicines.necsu.nhs.uk/guidelines/cumbria-guidelines/" TargetMode="External"/><Relationship Id="rId2" Type="http://schemas.openxmlformats.org/officeDocument/2006/relationships/hyperlink" Target="http://northoftyneandgatesheadformulary.nhs.uk/about.asp" TargetMode="External"/><Relationship Id="rId1" Type="http://schemas.openxmlformats.org/officeDocument/2006/relationships/hyperlink" Target="https://www.gmc-uk.org/-/media/documents/prescribing-guidance-updated-english-20210405_pdf-852605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Useful%20Info%20NECS\Templates%20for%20documents%20(NECS%20)\NECS%20MO%20Briefing%20Document%20Template%20Jan%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date xmlns="670439b0-d7f9-4a70-9686-b0bacac466a7">2024-01-10T08:00:00+00:00</Reviewdate>
    <lcf76f155ced4ddcb4097134ff3c332f xmlns="670439b0-d7f9-4a70-9686-b0bacac466a7">
      <Terms xmlns="http://schemas.microsoft.com/office/infopath/2007/PartnerControls"/>
    </lcf76f155ced4ddcb4097134ff3c332f>
    <TaxCatchAll xmlns="0b4fc205-a614-4830-878e-1fcbd167ea01" xsi:nil="true"/>
    <Resourcevalid_x003f_ xmlns="670439b0-d7f9-4a70-9686-b0bacac466a7">Valid</Resourcevalid_x003f_>
    <Ref_x002e_ xmlns="670439b0-d7f9-4a70-9686-b0bacac466a7">MO0123-09</Ref_x002e_>
    <Resourcetype xmlns="670439b0-d7f9-4a70-9686-b0bacac466a7">Guideline</Resourcetype>
    <Approveddate xmlns="670439b0-d7f9-4a70-9686-b0bacac466a7">2023-01-10T08:00:00+00:00</Approv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16" ma:contentTypeDescription="Create a new document." ma:contentTypeScope="" ma:versionID="dd6f6d7301e0e97e01368af7be4aa658">
  <xsd:schema xmlns:xsd="http://www.w3.org/2001/XMLSchema" xmlns:xs="http://www.w3.org/2001/XMLSchema" xmlns:p="http://schemas.microsoft.com/office/2006/metadata/properties" xmlns:ns2="670439b0-d7f9-4a70-9686-b0bacac466a7" xmlns:ns3="0b4fc205-a614-4830-878e-1fcbd167ea01" targetNamespace="http://schemas.microsoft.com/office/2006/metadata/properties" ma:root="true" ma:fieldsID="a7d7ebfb2088cd0afcdb42129f00e33d" ns2:_="" ns3:_="">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Ref_x002e_" minOccurs="0"/>
                <xsd:element ref="ns2:Approveddate" minOccurs="0"/>
                <xsd:element ref="ns2:Reviewdate" minOccurs="0"/>
                <xsd:element ref="ns2:Resourcetype" minOccurs="0"/>
                <xsd:element ref="ns2:Resourcevali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Ref_x002e_" ma:index="19" nillable="true" ma:displayName="Ref." ma:format="Dropdown" ma:internalName="Ref_x002e_">
      <xsd:simpleType>
        <xsd:restriction base="dms:Text">
          <xsd:maxLength value="255"/>
        </xsd:restriction>
      </xsd:simpleType>
    </xsd:element>
    <xsd:element name="Approveddate" ma:index="20" nillable="true" ma:displayName="Approved date" ma:format="DateOnly" ma:internalName="Approveddate">
      <xsd:simpleType>
        <xsd:restriction base="dms:DateTime"/>
      </xsd:simpleType>
    </xsd:element>
    <xsd:element name="Reviewdate" ma:index="21" nillable="true" ma:displayName="Review date" ma:format="DateOnly" ma:internalName="Reviewdate">
      <xsd:simpleType>
        <xsd:restriction base="dms:DateTime"/>
      </xsd:simpleType>
    </xsd:element>
    <xsd:element name="Resourcetype" ma:index="22" nillable="true" ma:displayName="Resource type" ma:format="Dropdown" ma:internalName="Resourcetype">
      <xsd:simpleType>
        <xsd:restriction base="dms:Choice">
          <xsd:enumeration value="Guideline"/>
          <xsd:enumeration value="Briefing"/>
          <xsd:enumeration value="Newsletter"/>
          <xsd:enumeration value="SOP"/>
          <xsd:enumeration value="Audit tool"/>
          <xsd:enumeration value="Clinical system search"/>
          <xsd:enumeration value="Clinical system protocol"/>
          <xsd:enumeration value="Other"/>
        </xsd:restriction>
      </xsd:simpleType>
    </xsd:element>
    <xsd:element name="Resourcevalid_x003f_" ma:index="23" nillable="true" ma:displayName="Status" ma:format="Dropdown" ma:internalName="Resourcevalid_x003f_">
      <xsd:simpleType>
        <xsd:restriction base="dms:Choice">
          <xsd:enumeration value="Valid"/>
          <xsd:enumeration value="Under review"/>
          <xsd:enumeration value="Withdrawn"/>
        </xsd:restriction>
      </xsd:simple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fa3f56-9432-42c0-8fa1-fdfd1808d577}" ma:internalName="TaxCatchAll" ma:showField="CatchAllData" ma:web="0b4fc205-a614-4830-878e-1fcbd167e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965BB77571404CB394B639D70E1939" ma:contentTypeVersion="4" ma:contentTypeDescription="Create a new document." ma:contentTypeScope="" ma:versionID="ed0745ab04c15c264722c346b850f705">
  <xsd:schema xmlns:xsd="http://www.w3.org/2001/XMLSchema" xmlns:xs="http://www.w3.org/2001/XMLSchema" xmlns:p="http://schemas.microsoft.com/office/2006/metadata/properties" xmlns:ns2="504c932b-969b-461c-9088-c6a3caa0abb7" xmlns:ns3="http://schemas.microsoft.com/sharepoint/v4" targetNamespace="http://schemas.microsoft.com/office/2006/metadata/properties" ma:root="true" ma:fieldsID="c1fd687ae04a6924e0d80096abed969a" ns2:_="" ns3:_="">
    <xsd:import namespace="504c932b-969b-461c-9088-c6a3caa0abb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932b-969b-461c-9088-c6a3caa0abb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38162-E96B-4C06-8D59-072E855AF971}">
  <ds:schemaRefs>
    <ds:schemaRef ds:uri="http://schemas.microsoft.com/office/2006/metadata/properties"/>
    <ds:schemaRef ds:uri="http://schemas.microsoft.com/office/infopath/2007/PartnerControls"/>
    <ds:schemaRef ds:uri="504c932b-969b-461c-9088-c6a3caa0abb7"/>
    <ds:schemaRef ds:uri="http://schemas.microsoft.com/sharepoint/v4"/>
  </ds:schemaRefs>
</ds:datastoreItem>
</file>

<file path=customXml/itemProps2.xml><?xml version="1.0" encoding="utf-8"?>
<ds:datastoreItem xmlns:ds="http://schemas.openxmlformats.org/officeDocument/2006/customXml" ds:itemID="{ABB8602D-9708-4B2F-8B46-BC8BBEEF6046}"/>
</file>

<file path=customXml/itemProps3.xml><?xml version="1.0" encoding="utf-8"?>
<ds:datastoreItem xmlns:ds="http://schemas.openxmlformats.org/officeDocument/2006/customXml" ds:itemID="{179CABF0-2CB4-4D17-B9DC-70A6039B60B7}">
  <ds:schemaRefs>
    <ds:schemaRef ds:uri="http://schemas.microsoft.com/sharepoint/v3/contenttype/forms"/>
  </ds:schemaRefs>
</ds:datastoreItem>
</file>

<file path=customXml/itemProps4.xml><?xml version="1.0" encoding="utf-8"?>
<ds:datastoreItem xmlns:ds="http://schemas.openxmlformats.org/officeDocument/2006/customXml" ds:itemID="{B51598BD-7D21-4E49-976F-F9685FE85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932b-969b-461c-9088-c6a3caa0ab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9BA7E2-6E48-584E-8B2A-96087BFA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NECS MO Briefing Document Template Jan 23</Template>
  <TotalTime>5</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NECS Report Structure template - portrait</vt:lpstr>
    </vt:vector>
  </TitlesOfParts>
  <Company>BD</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NECS Report Structure template - portrait</dc:title>
  <dc:subject/>
  <dc:creator>Leveson Anne (NECSU) NECS</dc:creator>
  <cp:keywords/>
  <cp:lastModifiedBy>LEVESON, Anne (NHS NORTH OF ENGLAND COMMISSIONING SUPPORT UNIT)</cp:lastModifiedBy>
  <cp:revision>3</cp:revision>
  <cp:lastPrinted>2013-11-28T14:12:00Z</cp:lastPrinted>
  <dcterms:created xsi:type="dcterms:W3CDTF">2023-01-03T13:55:00Z</dcterms:created>
  <dcterms:modified xsi:type="dcterms:W3CDTF">2023-01-03T14:09:00Z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0x010100D1371E0951EF4149B3A4B2BC36C68C3D</vt:lpwstr>
  </property>
  <property fmtid="{D5CDD505-2E9C-101B-9397-08002B2CF9AE}" pid="3" name="Order">
    <vt:r8>41900</vt:r8>
  </property>
  <property fmtid="{D5CDD505-2E9C-101B-9397-08002B2CF9AE}" pid="4" name="Synopsis">
    <vt:lpwstr>New NECS Branding Version</vt:lpwstr>
  </property>
  <property fmtid="{D5CDD505-2E9C-101B-9397-08002B2CF9AE}" pid="5" name="Directorates">
    <vt:lpwstr>1;#</vt:lpwstr>
  </property>
  <property fmtid="{D5CDD505-2E9C-101B-9397-08002B2CF9AE}" pid="6" name="IntranetPage">
    <vt:lpwstr>16;#</vt:lpwstr>
  </property>
  <property fmtid="{D5CDD505-2E9C-101B-9397-08002B2CF9AE}" pid="7" name="SubDocumentType">
    <vt:lpwstr/>
  </property>
  <property fmtid="{D5CDD505-2E9C-101B-9397-08002B2CF9AE}" pid="8" name="DocumentType">
    <vt:lpwstr>2</vt:lpwstr>
  </property>
  <property fmtid="{D5CDD505-2E9C-101B-9397-08002B2CF9AE}" pid="9" name="Teams">
    <vt:lpwstr>9;#</vt:lpwstr>
  </property>
  <property fmtid="{D5CDD505-2E9C-101B-9397-08002B2CF9AE}" pid="10" name="_dlc_DocIdItemGuid">
    <vt:lpwstr>8ea627f8-d8ad-4a61-9e56-5e3da69b4ff4</vt:lpwstr>
  </property>
  <property fmtid="{D5CDD505-2E9C-101B-9397-08002B2CF9AE}" pid="11" name="TaxKeyword">
    <vt:lpwstr/>
  </property>
  <property fmtid="{D5CDD505-2E9C-101B-9397-08002B2CF9AE}" pid="12" name="DocClassification">
    <vt:lpwstr>42;#Communications and Engagement|9cdde06b-fa6f-4f7c-b0a1-930284a407c4</vt:lpwstr>
  </property>
  <property fmtid="{D5CDD505-2E9C-101B-9397-08002B2CF9AE}" pid="13" name="Document Type0">
    <vt:lpwstr>236;#Branding ＆ Templates|c405ef4f-2564-4e03-91fa-ae6ef68da814</vt:lpwstr>
  </property>
  <property fmtid="{D5CDD505-2E9C-101B-9397-08002B2CF9AE}" pid="14" name="Document Type">
    <vt:lpwstr>236;#Branding ＆ Templates|c405ef4f-2564-4e03-91fa-ae6ef68da814</vt:lpwstr>
  </property>
  <property fmtid="{D5CDD505-2E9C-101B-9397-08002B2CF9AE}" pid="15" name="MediaServiceImageTags">
    <vt:lpwstr/>
  </property>
</Properties>
</file>