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68" w:rsidRDefault="008736AB">
      <w:pPr>
        <w:rPr>
          <w:sz w:val="28"/>
        </w:rPr>
      </w:pPr>
      <w:r>
        <w:rPr>
          <w:b/>
          <w:sz w:val="28"/>
        </w:rPr>
        <w:t>Reimbursement of Prescription Charges for Anti-Tuberculosis Drugs in Darlington, DDES and North Durham</w:t>
      </w:r>
    </w:p>
    <w:p w:rsidR="004D70D9" w:rsidRDefault="00233F84" w:rsidP="007C23D7">
      <w:pPr>
        <w:jc w:val="both"/>
      </w:pPr>
      <w:r>
        <w:t>The three CCGs responsible for commissioning healthcare for County Durham &amp; Darlington</w:t>
      </w:r>
      <w:r w:rsidR="0091090C">
        <w:t xml:space="preserve"> will</w:t>
      </w:r>
      <w:r>
        <w:t xml:space="preserve"> fund </w:t>
      </w:r>
      <w:r w:rsidR="0091090C">
        <w:t xml:space="preserve">any </w:t>
      </w:r>
      <w:r>
        <w:t xml:space="preserve">prescription charges </w:t>
      </w:r>
      <w:r w:rsidR="0091090C">
        <w:t xml:space="preserve">due </w:t>
      </w:r>
      <w:r>
        <w:t>for tuberculosis medicines dispensed in community pharmacies.</w:t>
      </w:r>
      <w:r w:rsidR="00AC6347">
        <w:t xml:space="preserve"> P</w:t>
      </w:r>
      <w:r w:rsidR="004D70D9">
        <w:t xml:space="preserve">harmacies across Darlington, DDES and North Durham CCGs </w:t>
      </w:r>
      <w:r w:rsidR="00AC6347">
        <w:t xml:space="preserve">should </w:t>
      </w:r>
      <w:r w:rsidR="00AC6347" w:rsidRPr="00912D39">
        <w:rPr>
          <w:b/>
          <w:u w:val="single"/>
        </w:rPr>
        <w:t>not</w:t>
      </w:r>
      <w:r w:rsidR="00AC6347">
        <w:t xml:space="preserve"> collect </w:t>
      </w:r>
      <w:r w:rsidR="00FE46C3">
        <w:t xml:space="preserve">NHS prescription charges </w:t>
      </w:r>
      <w:r w:rsidR="004C140E">
        <w:t xml:space="preserve">from patients </w:t>
      </w:r>
      <w:r w:rsidR="00FE46C3">
        <w:t xml:space="preserve">when dispensing </w:t>
      </w:r>
      <w:r w:rsidR="004D70D9">
        <w:t>anti-TB drugs prescribed by the specialist TB nursing</w:t>
      </w:r>
      <w:r w:rsidR="00FE46C3">
        <w:t xml:space="preserve"> service.</w:t>
      </w:r>
      <w:r w:rsidR="007C23D7">
        <w:t xml:space="preserve"> </w:t>
      </w:r>
      <w:r w:rsidR="00191097">
        <w:t xml:space="preserve">Pharmacies are nonetheless required to submit </w:t>
      </w:r>
      <w:r w:rsidR="00553527">
        <w:t xml:space="preserve">all </w:t>
      </w:r>
      <w:r w:rsidR="00191097">
        <w:t xml:space="preserve">prescriptions for patients who are not otherwise exempt from NHS prescription charges to the NHS BSA in the ‘charge paid’ category. </w:t>
      </w:r>
      <w:r w:rsidR="00804A70">
        <w:t>Arrangements for reimbursement are set out below.</w:t>
      </w:r>
    </w:p>
    <w:p w:rsidR="008736AB" w:rsidRPr="008736AB" w:rsidRDefault="00892454" w:rsidP="008736AB">
      <w:pPr>
        <w:rPr>
          <w:b/>
        </w:rPr>
      </w:pPr>
      <w:r>
        <w:rPr>
          <w:b/>
        </w:rPr>
        <w:t>Background</w:t>
      </w:r>
    </w:p>
    <w:p w:rsidR="00892454" w:rsidRDefault="00892454" w:rsidP="00710A6F">
      <w:pPr>
        <w:jc w:val="both"/>
      </w:pPr>
      <w:r>
        <w:t xml:space="preserve">Tuberculosis (TB) is a curable airborne infectious disease which can be passed from an infectious person to anyone with whom they are in long-term close contact, such as a family member or a work colleague.  </w:t>
      </w:r>
      <w:r w:rsidR="005A1A17">
        <w:t>Drug treatment is highly effective</w:t>
      </w:r>
      <w:r>
        <w:t xml:space="preserve">, but medicines need to be taken </w:t>
      </w:r>
      <w:r w:rsidR="005A1A17">
        <w:t xml:space="preserve">daily </w:t>
      </w:r>
      <w:r>
        <w:t xml:space="preserve">for </w:t>
      </w:r>
      <w:r w:rsidR="005A1A17">
        <w:t>several</w:t>
      </w:r>
      <w:r>
        <w:t xml:space="preserve"> months. </w:t>
      </w:r>
      <w:r w:rsidR="00710A6F">
        <w:t xml:space="preserve">Lack of adherence to treatment can pose significant risks to individuals and to public health. </w:t>
      </w:r>
      <w:r>
        <w:t xml:space="preserve">Patients who do not </w:t>
      </w:r>
      <w:r w:rsidR="00710A6F">
        <w:t xml:space="preserve">adhere fully or </w:t>
      </w:r>
      <w:r>
        <w:t>complet</w:t>
      </w:r>
      <w:r w:rsidR="00710A6F">
        <w:t>e</w:t>
      </w:r>
      <w:r w:rsidR="005A1A17">
        <w:t xml:space="preserve"> treatment </w:t>
      </w:r>
      <w:r w:rsidR="00223D89">
        <w:t xml:space="preserve">may develop drug-resistant disease and </w:t>
      </w:r>
      <w:r w:rsidR="005A1A17">
        <w:t>are at</w:t>
      </w:r>
      <w:r>
        <w:t xml:space="preserve"> high risk o</w:t>
      </w:r>
      <w:r w:rsidR="005A1A17">
        <w:t xml:space="preserve">f </w:t>
      </w:r>
      <w:r w:rsidR="00223D89">
        <w:t xml:space="preserve">relapse. Adherence to treatment can be challenging for people in high-risk and underserved groups. NICE </w:t>
      </w:r>
      <w:r w:rsidR="00710A6F">
        <w:t xml:space="preserve">guideline NG33 recommends a comprehensive, planned approach to optimising </w:t>
      </w:r>
      <w:proofErr w:type="gramStart"/>
      <w:r w:rsidR="00710A6F">
        <w:t>adherence,</w:t>
      </w:r>
      <w:proofErr w:type="gramEnd"/>
      <w:r w:rsidR="00710A6F">
        <w:t xml:space="preserve"> treatment completion and follow-up (see </w:t>
      </w:r>
      <w:hyperlink r:id="rId9" w:history="1">
        <w:r w:rsidR="005A1A17" w:rsidRPr="00984D8F">
          <w:rPr>
            <w:rStyle w:val="Hyperlink"/>
          </w:rPr>
          <w:t>https://www.nice.org.uk/guidance/ng33</w:t>
        </w:r>
      </w:hyperlink>
      <w:r w:rsidR="00710A6F">
        <w:t xml:space="preserve">). </w:t>
      </w:r>
    </w:p>
    <w:p w:rsidR="00892454" w:rsidRDefault="00A22503" w:rsidP="00290CFB">
      <w:pPr>
        <w:jc w:val="both"/>
      </w:pPr>
      <w:r>
        <w:t>Prescription ch</w:t>
      </w:r>
      <w:r w:rsidR="003B20D2">
        <w:t xml:space="preserve">arges may present a </w:t>
      </w:r>
      <w:r>
        <w:t>barrier to treatment adherence for some patients.</w:t>
      </w:r>
      <w:r w:rsidR="004D70D9">
        <w:t xml:space="preserve"> </w:t>
      </w:r>
      <w:r>
        <w:t xml:space="preserve"> </w:t>
      </w:r>
      <w:hyperlink r:id="rId10" w:history="1">
        <w:r w:rsidRPr="006D0C6A">
          <w:rPr>
            <w:rStyle w:val="Hyperlink"/>
          </w:rPr>
          <w:t>Statutory regulations</w:t>
        </w:r>
      </w:hyperlink>
      <w:r>
        <w:t xml:space="preserve"> on prescription charges were amended in 2009 to ensure that “</w:t>
      </w:r>
      <w:r w:rsidRPr="0064621F">
        <w:rPr>
          <w:i/>
        </w:rPr>
        <w:t>No charge shall be made and recovered […</w:t>
      </w:r>
      <w:proofErr w:type="gramStart"/>
      <w:r w:rsidRPr="0064621F">
        <w:rPr>
          <w:i/>
        </w:rPr>
        <w:t>]  from</w:t>
      </w:r>
      <w:proofErr w:type="gramEnd"/>
      <w:r w:rsidRPr="0064621F">
        <w:rPr>
          <w:i/>
        </w:rPr>
        <w:t xml:space="preserve"> a patient […] in respect of any drug supplied […] for the treatment of tuberculosis</w:t>
      </w:r>
      <w:r w:rsidRPr="00A22503">
        <w:t>”</w:t>
      </w:r>
      <w:r>
        <w:t xml:space="preserve">. </w:t>
      </w:r>
      <w:r w:rsidR="00396F12">
        <w:t xml:space="preserve">However, these regulations only apply when medicines are supplied directly from </w:t>
      </w:r>
      <w:r w:rsidRPr="00A22503">
        <w:t xml:space="preserve">TB </w:t>
      </w:r>
      <w:r w:rsidR="00396F12">
        <w:t>clinics</w:t>
      </w:r>
      <w:r w:rsidRPr="00A22503">
        <w:t xml:space="preserve"> and hospital pharmacies </w:t>
      </w:r>
      <w:r w:rsidR="00396F12">
        <w:t>or</w:t>
      </w:r>
      <w:r w:rsidR="0064621F">
        <w:t xml:space="preserve"> via</w:t>
      </w:r>
      <w:r w:rsidR="00396F12">
        <w:t xml:space="preserve"> PGD.</w:t>
      </w:r>
      <w:r w:rsidR="00507CB0">
        <w:t xml:space="preserve"> </w:t>
      </w:r>
      <w:r w:rsidR="00892454">
        <w:t>T</w:t>
      </w:r>
      <w:r w:rsidR="0064621F">
        <w:t>o minimise barriers to adherence and ensure equity, t</w:t>
      </w:r>
      <w:r w:rsidR="00892454">
        <w:t>he three CCGs responsible for commissioning healthcare services for Count</w:t>
      </w:r>
      <w:r w:rsidR="000E239C">
        <w:t xml:space="preserve">y Durham &amp; Darlington </w:t>
      </w:r>
      <w:r>
        <w:t>agreed to fund prescription charge</w:t>
      </w:r>
      <w:r w:rsidR="0064621F">
        <w:t>s for TB medicines dispensed in community pharmacies.</w:t>
      </w:r>
    </w:p>
    <w:p w:rsidR="008736AB" w:rsidRDefault="008736AB" w:rsidP="008736AB">
      <w:pPr>
        <w:rPr>
          <w:b/>
        </w:rPr>
      </w:pPr>
      <w:r>
        <w:rPr>
          <w:b/>
        </w:rPr>
        <w:t>Reimbursement of prescription charges</w:t>
      </w:r>
    </w:p>
    <w:p w:rsidR="008736AB" w:rsidRPr="008736AB" w:rsidRDefault="0091090C" w:rsidP="00B154C3">
      <w:pPr>
        <w:pStyle w:val="ListParagraph"/>
        <w:numPr>
          <w:ilvl w:val="0"/>
          <w:numId w:val="1"/>
        </w:numPr>
        <w:jc w:val="both"/>
        <w:rPr>
          <w:b/>
        </w:rPr>
      </w:pPr>
      <w:r>
        <w:t>Whenever practical, t</w:t>
      </w:r>
      <w:r w:rsidR="008736AB">
        <w:t xml:space="preserve">he TB team will telephone </w:t>
      </w:r>
      <w:r>
        <w:t>the pharmacy</w:t>
      </w:r>
      <w:r w:rsidR="008736AB">
        <w:t xml:space="preserve"> to </w:t>
      </w:r>
      <w:r>
        <w:t xml:space="preserve">check stock availability and </w:t>
      </w:r>
      <w:r w:rsidR="008736AB">
        <w:t xml:space="preserve">explain the </w:t>
      </w:r>
      <w:r>
        <w:t>arrangements for prescription charges before the patient presents a prescription</w:t>
      </w:r>
    </w:p>
    <w:p w:rsidR="008736AB" w:rsidRDefault="008736AB" w:rsidP="00B154C3">
      <w:pPr>
        <w:pStyle w:val="ListParagraph"/>
        <w:numPr>
          <w:ilvl w:val="0"/>
          <w:numId w:val="1"/>
        </w:numPr>
        <w:jc w:val="both"/>
      </w:pPr>
      <w:r>
        <w:t>The pharmacy wi</w:t>
      </w:r>
      <w:r w:rsidR="0091090C">
        <w:t>ll not collect a prescripti</w:t>
      </w:r>
      <w:r w:rsidR="001A7509">
        <w:t>on charge</w:t>
      </w:r>
      <w:r w:rsidR="0091090C">
        <w:t xml:space="preserve"> for </w:t>
      </w:r>
      <w:r w:rsidR="001A7509">
        <w:t xml:space="preserve">any </w:t>
      </w:r>
      <w:r w:rsidR="0091090C">
        <w:t>anti-TB medication prescribed</w:t>
      </w:r>
      <w:r w:rsidR="000D536C">
        <w:t xml:space="preserve"> by the TB team [NB: charges should be collected for any other medicines prescribed]</w:t>
      </w:r>
    </w:p>
    <w:p w:rsidR="005F691C" w:rsidRDefault="004C325C" w:rsidP="00B154C3">
      <w:pPr>
        <w:pStyle w:val="ListParagraph"/>
        <w:numPr>
          <w:ilvl w:val="0"/>
          <w:numId w:val="1"/>
        </w:numPr>
        <w:jc w:val="both"/>
      </w:pPr>
      <w:r>
        <w:t xml:space="preserve">The pharmacy will ensure that Part 2 of the prescription charge declaration </w:t>
      </w:r>
      <w:r w:rsidR="00CB31BD">
        <w:t>shows the value of charges due (although not collected)</w:t>
      </w:r>
    </w:p>
    <w:p w:rsidR="008736AB" w:rsidRDefault="008736AB" w:rsidP="00B154C3">
      <w:pPr>
        <w:pStyle w:val="ListParagraph"/>
        <w:numPr>
          <w:ilvl w:val="0"/>
          <w:numId w:val="1"/>
        </w:numPr>
        <w:jc w:val="both"/>
      </w:pPr>
      <w:r>
        <w:t xml:space="preserve">The pharmacy will </w:t>
      </w:r>
      <w:r w:rsidR="00D605EB">
        <w:t>return a completed invoice for reimbursement of the uncollected prescription charges (see  appendix) to</w:t>
      </w:r>
      <w:r>
        <w:t xml:space="preserve"> the commissioners c/o North of England Commiss</w:t>
      </w:r>
      <w:r w:rsidR="00D605EB">
        <w:t>ioning Support (NECS) Finance Department</w:t>
      </w:r>
    </w:p>
    <w:p w:rsidR="008736AB" w:rsidRDefault="008736AB" w:rsidP="00B154C3">
      <w:pPr>
        <w:pStyle w:val="ListParagraph"/>
        <w:numPr>
          <w:ilvl w:val="0"/>
          <w:numId w:val="1"/>
        </w:numPr>
        <w:jc w:val="both"/>
      </w:pPr>
      <w:r>
        <w:t>The TB team and community pharmacy will liaise as necessary regarding the continued supply of anti-TB medication</w:t>
      </w:r>
    </w:p>
    <w:p w:rsidR="008736AB" w:rsidRDefault="008736AB" w:rsidP="00B154C3">
      <w:pPr>
        <w:spacing w:after="0"/>
        <w:jc w:val="center"/>
      </w:pPr>
      <w:r>
        <w:rPr>
          <w:b/>
        </w:rPr>
        <w:t>TB team contact details</w:t>
      </w:r>
    </w:p>
    <w:p w:rsidR="001927ED" w:rsidRDefault="00F74918" w:rsidP="00B154C3">
      <w:pPr>
        <w:jc w:val="center"/>
        <w:rPr>
          <w:color w:val="1F497D"/>
        </w:rPr>
      </w:pPr>
      <w:r>
        <w:t xml:space="preserve">TELEPHONE: </w:t>
      </w:r>
      <w:r w:rsidR="008736AB">
        <w:t>0191 374 0079</w:t>
      </w:r>
      <w:r>
        <w:tab/>
        <w:t xml:space="preserve">email: </w:t>
      </w:r>
      <w:hyperlink r:id="rId11" w:history="1">
        <w:r w:rsidR="001927ED">
          <w:rPr>
            <w:rStyle w:val="Hyperlink"/>
          </w:rPr>
          <w:t>cdda-tr.tbteam@nhs.net</w:t>
        </w:r>
      </w:hyperlink>
    </w:p>
    <w:p w:rsidR="001927ED" w:rsidRDefault="001927ED" w:rsidP="008736AB"/>
    <w:p w:rsidR="008736AB" w:rsidRDefault="008736AB" w:rsidP="008736AB">
      <w:pPr>
        <w:rPr>
          <w:b/>
        </w:rPr>
      </w:pPr>
      <w:r>
        <w:rPr>
          <w:b/>
        </w:rPr>
        <w:lastRenderedPageBreak/>
        <w:t xml:space="preserve">Appendix – Community Pharmacy Invoice for Reimbursement </w:t>
      </w:r>
      <w:r w:rsidR="003D15A8">
        <w:rPr>
          <w:b/>
        </w:rPr>
        <w:t xml:space="preserve">of </w:t>
      </w:r>
      <w:r w:rsidR="0076077A">
        <w:rPr>
          <w:b/>
        </w:rPr>
        <w:t xml:space="preserve">Prescription Charges for </w:t>
      </w:r>
      <w:r w:rsidR="003D15A8">
        <w:rPr>
          <w:b/>
        </w:rPr>
        <w:t xml:space="preserve">Anti-TB Medication </w:t>
      </w:r>
    </w:p>
    <w:p w:rsidR="003D15A8" w:rsidRPr="003D15A8" w:rsidRDefault="003D15A8" w:rsidP="003D15A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b/>
          <w:bCs/>
          <w:lang w:eastAsia="en-GB"/>
        </w:rPr>
      </w:pPr>
    </w:p>
    <w:tbl>
      <w:tblPr>
        <w:tblStyle w:val="TableGrid2"/>
        <w:tblW w:w="5000" w:type="pct"/>
        <w:jc w:val="center"/>
        <w:tblLook w:val="01E0" w:firstRow="1" w:lastRow="1" w:firstColumn="1" w:lastColumn="1" w:noHBand="0" w:noVBand="0"/>
      </w:tblPr>
      <w:tblGrid>
        <w:gridCol w:w="3188"/>
        <w:gridCol w:w="3919"/>
        <w:gridCol w:w="2135"/>
      </w:tblGrid>
      <w:tr w:rsidR="003D15A8" w:rsidRPr="003D15A8" w:rsidTr="006035C7">
        <w:trPr>
          <w:jc w:val="center"/>
        </w:trPr>
        <w:tc>
          <w:tcPr>
            <w:tcW w:w="1725" w:type="pct"/>
          </w:tcPr>
          <w:p w:rsidR="003D15A8" w:rsidRPr="003D15A8" w:rsidRDefault="003D15A8" w:rsidP="003D15A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15A8">
              <w:rPr>
                <w:rFonts w:ascii="Calibri" w:hAnsi="Calibri" w:cs="Arial"/>
                <w:b/>
                <w:bCs/>
                <w:sz w:val="22"/>
                <w:szCs w:val="22"/>
              </w:rPr>
              <w:t>Pharmacy name:</w:t>
            </w:r>
          </w:p>
          <w:p w:rsidR="003D15A8" w:rsidRPr="003D15A8" w:rsidRDefault="003D15A8" w:rsidP="003D15A8">
            <w:pPr>
              <w:spacing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2120" w:type="pct"/>
          </w:tcPr>
          <w:p w:rsidR="003D15A8" w:rsidRPr="003D15A8" w:rsidRDefault="003D15A8" w:rsidP="003D15A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155" w:type="pct"/>
            <w:vMerge w:val="restart"/>
          </w:tcPr>
          <w:p w:rsidR="003D15A8" w:rsidRPr="003D15A8" w:rsidRDefault="003D15A8" w:rsidP="003D15A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3D15A8">
              <w:rPr>
                <w:rFonts w:ascii="Calibri" w:hAnsi="Calibri" w:cs="Arial"/>
                <w:sz w:val="22"/>
                <w:szCs w:val="22"/>
                <w:lang w:val="fr-FR"/>
              </w:rPr>
              <w:t>Stamp</w:t>
            </w:r>
            <w:proofErr w:type="spellEnd"/>
          </w:p>
        </w:tc>
      </w:tr>
      <w:tr w:rsidR="003D15A8" w:rsidRPr="003D15A8" w:rsidTr="006035C7">
        <w:trPr>
          <w:trHeight w:val="872"/>
          <w:jc w:val="center"/>
        </w:trPr>
        <w:tc>
          <w:tcPr>
            <w:tcW w:w="1725" w:type="pct"/>
          </w:tcPr>
          <w:p w:rsidR="003D15A8" w:rsidRPr="003D15A8" w:rsidRDefault="003D15A8" w:rsidP="003D15A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D15A8">
              <w:rPr>
                <w:rFonts w:ascii="Calibri" w:hAnsi="Calibri" w:cs="Arial"/>
                <w:b/>
                <w:bCs/>
                <w:sz w:val="22"/>
                <w:szCs w:val="22"/>
              </w:rPr>
              <w:t>Pharmacy address:</w:t>
            </w:r>
          </w:p>
          <w:p w:rsidR="003D15A8" w:rsidRPr="003D15A8" w:rsidRDefault="003D15A8" w:rsidP="003D15A8">
            <w:pPr>
              <w:spacing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2120" w:type="pct"/>
          </w:tcPr>
          <w:p w:rsidR="003D15A8" w:rsidRPr="003D15A8" w:rsidRDefault="003D15A8" w:rsidP="003D15A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  <w:tc>
          <w:tcPr>
            <w:tcW w:w="1155" w:type="pct"/>
            <w:vMerge/>
          </w:tcPr>
          <w:p w:rsidR="003D15A8" w:rsidRPr="003D15A8" w:rsidRDefault="003D15A8" w:rsidP="003D15A8">
            <w:pPr>
              <w:spacing w:after="120"/>
              <w:jc w:val="center"/>
              <w:rPr>
                <w:rFonts w:ascii="Calibri" w:hAnsi="Calibri" w:cs="Arial"/>
                <w:sz w:val="22"/>
                <w:szCs w:val="22"/>
                <w:lang w:val="fr-FR"/>
              </w:rPr>
            </w:pPr>
          </w:p>
        </w:tc>
      </w:tr>
      <w:tr w:rsidR="003D15A8" w:rsidRPr="003D15A8" w:rsidTr="006035C7">
        <w:trPr>
          <w:trHeight w:val="710"/>
          <w:jc w:val="center"/>
        </w:trPr>
        <w:tc>
          <w:tcPr>
            <w:tcW w:w="1725" w:type="pct"/>
          </w:tcPr>
          <w:p w:rsidR="003D15A8" w:rsidRPr="003D15A8" w:rsidRDefault="003D15A8" w:rsidP="003D15A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3D15A8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Information provided by: </w:t>
            </w:r>
          </w:p>
        </w:tc>
        <w:tc>
          <w:tcPr>
            <w:tcW w:w="2120" w:type="pct"/>
          </w:tcPr>
          <w:p w:rsidR="003D15A8" w:rsidRPr="003D15A8" w:rsidRDefault="003D15A8" w:rsidP="003D15A8">
            <w:pPr>
              <w:spacing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  <w:proofErr w:type="spellStart"/>
            <w:r w:rsidRPr="003D15A8">
              <w:rPr>
                <w:rFonts w:ascii="Calibri" w:hAnsi="Calibri" w:cs="Arial"/>
                <w:sz w:val="22"/>
                <w:szCs w:val="22"/>
                <w:lang w:val="fr-FR"/>
              </w:rPr>
              <w:t>Print</w:t>
            </w:r>
            <w:proofErr w:type="spellEnd"/>
            <w:r w:rsidRPr="003D15A8">
              <w:rPr>
                <w:rFonts w:ascii="Calibri" w:hAnsi="Calibri" w:cs="Arial"/>
                <w:sz w:val="22"/>
                <w:szCs w:val="22"/>
                <w:lang w:val="fr-FR"/>
              </w:rPr>
              <w:t xml:space="preserve"> Name:</w:t>
            </w:r>
          </w:p>
        </w:tc>
        <w:tc>
          <w:tcPr>
            <w:tcW w:w="1155" w:type="pct"/>
          </w:tcPr>
          <w:p w:rsidR="003D15A8" w:rsidRPr="003D15A8" w:rsidRDefault="003D15A8" w:rsidP="00441D21">
            <w:pPr>
              <w:spacing w:after="120"/>
              <w:rPr>
                <w:rFonts w:ascii="Calibri" w:hAnsi="Calibri" w:cs="Arial"/>
                <w:sz w:val="22"/>
                <w:szCs w:val="22"/>
                <w:lang w:val="fr-FR"/>
              </w:rPr>
            </w:pPr>
            <w:r w:rsidRPr="003D15A8">
              <w:rPr>
                <w:rFonts w:ascii="Calibri" w:hAnsi="Calibri" w:cs="Arial"/>
                <w:sz w:val="22"/>
                <w:szCs w:val="22"/>
                <w:lang w:val="fr-FR"/>
              </w:rPr>
              <w:t>Date :</w:t>
            </w:r>
          </w:p>
        </w:tc>
      </w:tr>
    </w:tbl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  <w:r w:rsidRPr="003D15A8">
        <w:rPr>
          <w:rFonts w:ascii="Calibri" w:eastAsia="Times New Roman" w:hAnsi="Calibri"/>
          <w:b/>
          <w:lang w:eastAsia="en-GB"/>
        </w:rPr>
        <w:t>Details of goods/ service provided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3D15A8" w:rsidRPr="003D15A8" w:rsidTr="006035C7"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Number of prescription charges</w:t>
            </w:r>
          </w:p>
        </w:tc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NHS prescription charge</w:t>
            </w:r>
            <w:r w:rsidR="00441D21">
              <w:rPr>
                <w:rFonts w:ascii="Calibri" w:eastAsia="Times New Roman" w:hAnsi="Calibri"/>
                <w:b/>
                <w:lang w:eastAsia="en-GB"/>
              </w:rPr>
              <w:t xml:space="preserve"> value</w:t>
            </w:r>
          </w:p>
        </w:tc>
        <w:tc>
          <w:tcPr>
            <w:tcW w:w="1667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Total claim</w:t>
            </w:r>
          </w:p>
        </w:tc>
      </w:tr>
      <w:tr w:rsidR="003D15A8" w:rsidRPr="003D15A8" w:rsidTr="006035C7">
        <w:trPr>
          <w:trHeight w:val="564"/>
        </w:trPr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  <w:tc>
          <w:tcPr>
            <w:tcW w:w="1667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</w:tr>
    </w:tbl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  <w:r w:rsidRPr="003D15A8">
        <w:rPr>
          <w:rFonts w:ascii="Calibri" w:eastAsia="Times New Roman" w:hAnsi="Calibri"/>
          <w:b/>
          <w:lang w:eastAsia="en-GB"/>
        </w:rPr>
        <w:t>Pharmacy account details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0"/>
        <w:gridCol w:w="3080"/>
        <w:gridCol w:w="3082"/>
      </w:tblGrid>
      <w:tr w:rsidR="003D15A8" w:rsidRPr="003D15A8" w:rsidTr="006035C7"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Sort code</w:t>
            </w:r>
          </w:p>
        </w:tc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Account number</w:t>
            </w:r>
          </w:p>
        </w:tc>
        <w:tc>
          <w:tcPr>
            <w:tcW w:w="1667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  <w:r w:rsidRPr="003D15A8">
              <w:rPr>
                <w:rFonts w:ascii="Calibri" w:eastAsia="Times New Roman" w:hAnsi="Calibri"/>
                <w:b/>
                <w:lang w:eastAsia="en-GB"/>
              </w:rPr>
              <w:t>Bank address</w:t>
            </w:r>
          </w:p>
        </w:tc>
      </w:tr>
      <w:tr w:rsidR="003D15A8" w:rsidRPr="003D15A8" w:rsidTr="006035C7">
        <w:trPr>
          <w:trHeight w:val="564"/>
        </w:trPr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  <w:tc>
          <w:tcPr>
            <w:tcW w:w="1666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  <w:tc>
          <w:tcPr>
            <w:tcW w:w="1667" w:type="pct"/>
          </w:tcPr>
          <w:p w:rsidR="003D15A8" w:rsidRPr="003D15A8" w:rsidRDefault="003D15A8" w:rsidP="003D15A8">
            <w:pPr>
              <w:rPr>
                <w:rFonts w:ascii="Calibri" w:eastAsia="Times New Roman" w:hAnsi="Calibri"/>
                <w:b/>
                <w:lang w:eastAsia="en-GB"/>
              </w:rPr>
            </w:pPr>
          </w:p>
        </w:tc>
      </w:tr>
    </w:tbl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  <w:r w:rsidRPr="003D15A8">
        <w:rPr>
          <w:rFonts w:ascii="Calibri" w:eastAsia="Times New Roman" w:hAnsi="Calibri"/>
          <w:b/>
          <w:lang w:eastAsia="en-GB"/>
        </w:rPr>
        <w:t>Please do not include copies of prescriptions or patient identifiable information with invoices.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b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Please return this form to: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NECS Finance Team</w:t>
      </w:r>
      <w:r w:rsidR="00083063">
        <w:rPr>
          <w:rFonts w:ascii="Calibri" w:eastAsia="Times New Roman" w:hAnsi="Calibri"/>
          <w:lang w:eastAsia="en-GB"/>
        </w:rPr>
        <w:t xml:space="preserve"> [Community Pharmacy]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North of England Commissioning Support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Durham University Science Park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John Snow House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Stockton Road</w:t>
      </w:r>
    </w:p>
    <w:p w:rsidR="003D15A8" w:rsidRPr="003D15A8" w:rsidRDefault="003D15A8" w:rsidP="003D15A8">
      <w:pPr>
        <w:spacing w:after="0" w:line="240" w:lineRule="auto"/>
        <w:rPr>
          <w:rFonts w:ascii="Calibri" w:eastAsia="Times New Roman" w:hAnsi="Calibri"/>
          <w:lang w:eastAsia="en-GB"/>
        </w:rPr>
      </w:pPr>
      <w:r w:rsidRPr="003D15A8">
        <w:rPr>
          <w:rFonts w:ascii="Calibri" w:eastAsia="Times New Roman" w:hAnsi="Calibri"/>
          <w:lang w:eastAsia="en-GB"/>
        </w:rPr>
        <w:t>Durham DH1 3YG</w:t>
      </w:r>
    </w:p>
    <w:p w:rsidR="003D15A8" w:rsidRDefault="003D15A8" w:rsidP="008736AB">
      <w:pPr>
        <w:rPr>
          <w:rFonts w:ascii="Calibri" w:eastAsia="Times New Roman" w:hAnsi="Calibri"/>
          <w:lang w:eastAsia="en-GB"/>
        </w:rPr>
      </w:pPr>
    </w:p>
    <w:p w:rsidR="003D15A8" w:rsidRPr="003D15A8" w:rsidRDefault="003D15A8" w:rsidP="008736AB">
      <w:pPr>
        <w:rPr>
          <w:rFonts w:ascii="Calibri" w:hAnsi="Calibri"/>
        </w:rPr>
      </w:pPr>
      <w:r>
        <w:rPr>
          <w:rFonts w:ascii="Calibri" w:eastAsia="Times New Roman" w:hAnsi="Calibri"/>
          <w:b/>
          <w:lang w:eastAsia="en-GB"/>
        </w:rPr>
        <w:t xml:space="preserve">OR </w:t>
      </w:r>
      <w:r>
        <w:rPr>
          <w:rFonts w:ascii="Calibri" w:eastAsia="Times New Roman" w:hAnsi="Calibri"/>
          <w:lang w:eastAsia="en-GB"/>
        </w:rPr>
        <w:t xml:space="preserve">email </w:t>
      </w:r>
      <w:r w:rsidR="006304CF">
        <w:rPr>
          <w:rFonts w:ascii="Calibri" w:eastAsia="Times New Roman" w:hAnsi="Calibri"/>
          <w:lang w:eastAsia="en-GB"/>
        </w:rPr>
        <w:t xml:space="preserve">to </w:t>
      </w:r>
      <w:bookmarkStart w:id="0" w:name="_GoBack"/>
      <w:bookmarkEnd w:id="0"/>
      <w:r w:rsidR="006304CF">
        <w:fldChar w:fldCharType="begin"/>
      </w:r>
      <w:r w:rsidR="006304CF">
        <w:instrText xml:space="preserve"> HYPERLINK "mailto:necsu.minorailments@nhs.net" </w:instrText>
      </w:r>
      <w:r w:rsidR="006304CF">
        <w:fldChar w:fldCharType="separate"/>
      </w:r>
      <w:r w:rsidRPr="007C4DF3">
        <w:rPr>
          <w:rStyle w:val="Hyperlink"/>
          <w:rFonts w:ascii="Calibri" w:eastAsia="Times New Roman" w:hAnsi="Calibri"/>
          <w:lang w:eastAsia="en-GB"/>
        </w:rPr>
        <w:t>necsu.minorailments@nhs.net</w:t>
      </w:r>
      <w:r w:rsidR="006304CF">
        <w:rPr>
          <w:rStyle w:val="Hyperlink"/>
          <w:rFonts w:ascii="Calibri" w:eastAsia="Times New Roman" w:hAnsi="Calibri"/>
          <w:lang w:eastAsia="en-GB"/>
        </w:rPr>
        <w:fldChar w:fldCharType="end"/>
      </w:r>
      <w:r>
        <w:rPr>
          <w:rFonts w:ascii="Calibri" w:eastAsia="Times New Roman" w:hAnsi="Calibri"/>
          <w:lang w:eastAsia="en-GB"/>
        </w:rPr>
        <w:t xml:space="preserve"> </w:t>
      </w:r>
    </w:p>
    <w:sectPr w:rsidR="003D15A8" w:rsidRPr="003D15A8" w:rsidSect="00F74918">
      <w:headerReference w:type="default" r:id="rId12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13" w:rsidRDefault="009D1213" w:rsidP="009D1213">
      <w:pPr>
        <w:spacing w:after="0" w:line="240" w:lineRule="auto"/>
      </w:pPr>
      <w:r>
        <w:separator/>
      </w:r>
    </w:p>
  </w:endnote>
  <w:endnote w:type="continuationSeparator" w:id="0">
    <w:p w:rsidR="009D1213" w:rsidRDefault="009D1213" w:rsidP="009D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13" w:rsidRDefault="009D1213" w:rsidP="009D1213">
      <w:pPr>
        <w:spacing w:after="0" w:line="240" w:lineRule="auto"/>
      </w:pPr>
      <w:r>
        <w:separator/>
      </w:r>
    </w:p>
  </w:footnote>
  <w:footnote w:type="continuationSeparator" w:id="0">
    <w:p w:rsidR="009D1213" w:rsidRDefault="009D1213" w:rsidP="009D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213" w:rsidRPr="001E75A3" w:rsidRDefault="004D70D9" w:rsidP="009D1213">
    <w:pPr>
      <w:spacing w:after="0" w:line="240" w:lineRule="auto"/>
      <w:jc w:val="center"/>
      <w:rPr>
        <w:rFonts w:ascii="Arial" w:eastAsia="Times New Roman" w:hAnsi="Arial" w:cs="Times New Roman"/>
        <w:b/>
        <w:sz w:val="20"/>
        <w:szCs w:val="20"/>
      </w:rPr>
    </w:pPr>
    <w:r>
      <w:rPr>
        <w:rFonts w:ascii="Arial" w:eastAsia="Times New Roman" w:hAnsi="Arial"/>
        <w:noProof/>
        <w:szCs w:val="24"/>
        <w:lang w:eastAsia="en-GB"/>
      </w:rPr>
      <w:drawing>
        <wp:inline distT="0" distB="0" distL="0" distR="0" wp14:anchorId="47024A9D" wp14:editId="3DF54233">
          <wp:extent cx="1200150" cy="314325"/>
          <wp:effectExtent l="0" t="0" r="0" b="9525"/>
          <wp:docPr id="2" name="Picture 2" descr="North Durham CCG c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rth Durham CCG c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Cs w:val="24"/>
      </w:rPr>
      <w:tab/>
    </w:r>
    <w:r>
      <w:rPr>
        <w:rFonts w:ascii="Arial" w:eastAsia="Times New Roman" w:hAnsi="Arial" w:cs="Times New Roman"/>
        <w:szCs w:val="24"/>
      </w:rPr>
      <w:tab/>
    </w:r>
    <w:r w:rsidR="009D1213">
      <w:rPr>
        <w:rFonts w:ascii="Arial" w:eastAsia="Times New Roman" w:hAnsi="Arial" w:cs="Times New Roman"/>
        <w:noProof/>
        <w:szCs w:val="24"/>
        <w:lang w:eastAsia="en-GB"/>
      </w:rPr>
      <w:drawing>
        <wp:inline distT="0" distB="0" distL="0" distR="0" wp14:anchorId="04F97E37" wp14:editId="726BB5BB">
          <wp:extent cx="1628775" cy="304800"/>
          <wp:effectExtent l="0" t="0" r="9525" b="0"/>
          <wp:docPr id="3" name="Picture 3" descr="Dham Dales, Easington and Sdgfield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ham Dales, Easington and Sdgfield CCG 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Cs w:val="24"/>
      </w:rPr>
      <w:tab/>
    </w:r>
    <w:r>
      <w:rPr>
        <w:rFonts w:ascii="Arial" w:eastAsia="Times New Roman" w:hAnsi="Arial" w:cs="Times New Roman"/>
        <w:szCs w:val="24"/>
      </w:rPr>
      <w:tab/>
    </w:r>
    <w:r w:rsidR="009D1213">
      <w:rPr>
        <w:rFonts w:ascii="Arial" w:eastAsia="Times New Roman" w:hAnsi="Arial" w:cs="Times New Roman"/>
        <w:b/>
        <w:noProof/>
        <w:sz w:val="20"/>
        <w:szCs w:val="20"/>
        <w:lang w:eastAsia="en-GB"/>
      </w:rPr>
      <w:drawing>
        <wp:inline distT="0" distB="0" distL="0" distR="0" wp14:anchorId="2927B827" wp14:editId="73D07553">
          <wp:extent cx="1276350" cy="352425"/>
          <wp:effectExtent l="0" t="0" r="0" b="9525"/>
          <wp:docPr id="1" name="Picture 1" descr="Dar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rl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213" w:rsidRDefault="009D1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1667"/>
    <w:multiLevelType w:val="hybridMultilevel"/>
    <w:tmpl w:val="34BE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B"/>
    <w:rsid w:val="00083063"/>
    <w:rsid w:val="000A26EB"/>
    <w:rsid w:val="000D536C"/>
    <w:rsid w:val="000E239C"/>
    <w:rsid w:val="00191097"/>
    <w:rsid w:val="001927ED"/>
    <w:rsid w:val="001A7509"/>
    <w:rsid w:val="00223D89"/>
    <w:rsid w:val="00233F84"/>
    <w:rsid w:val="00290CFB"/>
    <w:rsid w:val="003303CA"/>
    <w:rsid w:val="00396F12"/>
    <w:rsid w:val="003B20D2"/>
    <w:rsid w:val="003D15A8"/>
    <w:rsid w:val="00441D21"/>
    <w:rsid w:val="004C140E"/>
    <w:rsid w:val="004C325C"/>
    <w:rsid w:val="004D70D9"/>
    <w:rsid w:val="00503168"/>
    <w:rsid w:val="00507CB0"/>
    <w:rsid w:val="00553527"/>
    <w:rsid w:val="00580DCD"/>
    <w:rsid w:val="005A1A17"/>
    <w:rsid w:val="005F691C"/>
    <w:rsid w:val="006304CF"/>
    <w:rsid w:val="00643E83"/>
    <w:rsid w:val="0064621F"/>
    <w:rsid w:val="006D0C6A"/>
    <w:rsid w:val="00710A6F"/>
    <w:rsid w:val="0076077A"/>
    <w:rsid w:val="007C23D7"/>
    <w:rsid w:val="00804A70"/>
    <w:rsid w:val="008736AB"/>
    <w:rsid w:val="00883B59"/>
    <w:rsid w:val="00892454"/>
    <w:rsid w:val="008B2FF5"/>
    <w:rsid w:val="0091090C"/>
    <w:rsid w:val="00912D39"/>
    <w:rsid w:val="00920F26"/>
    <w:rsid w:val="009D1213"/>
    <w:rsid w:val="00A22503"/>
    <w:rsid w:val="00AB65FD"/>
    <w:rsid w:val="00AC6347"/>
    <w:rsid w:val="00B154C3"/>
    <w:rsid w:val="00B74251"/>
    <w:rsid w:val="00CB31BD"/>
    <w:rsid w:val="00D605EB"/>
    <w:rsid w:val="00F74918"/>
    <w:rsid w:val="00FE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AB"/>
    <w:pPr>
      <w:ind w:left="720"/>
      <w:contextualSpacing/>
    </w:pPr>
  </w:style>
  <w:style w:type="table" w:styleId="TableGrid">
    <w:name w:val="Table Grid"/>
    <w:basedOn w:val="TableNormal"/>
    <w:uiPriority w:val="59"/>
    <w:rsid w:val="003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D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7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13"/>
  </w:style>
  <w:style w:type="paragraph" w:styleId="Footer">
    <w:name w:val="footer"/>
    <w:basedOn w:val="Normal"/>
    <w:link w:val="FooterChar"/>
    <w:uiPriority w:val="99"/>
    <w:unhideWhenUsed/>
    <w:rsid w:val="009D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3"/>
  </w:style>
  <w:style w:type="paragraph" w:styleId="BalloonText">
    <w:name w:val="Balloon Text"/>
    <w:basedOn w:val="Normal"/>
    <w:link w:val="BalloonTextChar"/>
    <w:uiPriority w:val="99"/>
    <w:semiHidden/>
    <w:unhideWhenUsed/>
    <w:rsid w:val="009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6AB"/>
    <w:pPr>
      <w:ind w:left="720"/>
      <w:contextualSpacing/>
    </w:pPr>
  </w:style>
  <w:style w:type="table" w:styleId="TableGrid">
    <w:name w:val="Table Grid"/>
    <w:basedOn w:val="TableNormal"/>
    <w:uiPriority w:val="59"/>
    <w:rsid w:val="003D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D1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1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7E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213"/>
  </w:style>
  <w:style w:type="paragraph" w:styleId="Footer">
    <w:name w:val="footer"/>
    <w:basedOn w:val="Normal"/>
    <w:link w:val="FooterChar"/>
    <w:uiPriority w:val="99"/>
    <w:unhideWhenUsed/>
    <w:rsid w:val="009D12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213"/>
  </w:style>
  <w:style w:type="paragraph" w:styleId="BalloonText">
    <w:name w:val="Balloon Text"/>
    <w:basedOn w:val="Normal"/>
    <w:link w:val="BalloonTextChar"/>
    <w:uiPriority w:val="99"/>
    <w:semiHidden/>
    <w:unhideWhenUsed/>
    <w:rsid w:val="009D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4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dda-tr.tbteam@nhs.n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ebarchive.nationalarchives.gov.uk/+/www.dh.gov.uk/en/Publichealth/Communicablediseases/Tuberculosis/DH_07813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ice.org.uk/guidance/ng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0C452-73C3-490F-8375-8F5A52D9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deborah.giles</dc:creator>
  <cp:lastModifiedBy>Dominic McDermott</cp:lastModifiedBy>
  <cp:revision>40</cp:revision>
  <dcterms:created xsi:type="dcterms:W3CDTF">2017-01-04T15:21:00Z</dcterms:created>
  <dcterms:modified xsi:type="dcterms:W3CDTF">2017-01-16T15:59:00Z</dcterms:modified>
</cp:coreProperties>
</file>